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F025" w14:textId="77777777" w:rsidR="002778A3" w:rsidRDefault="002778A3" w:rsidP="002778A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EB07B56" w14:textId="307670B0" w:rsidR="002778A3" w:rsidRDefault="002778A3" w:rsidP="002778A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D0528">
        <w:rPr>
          <w:b/>
          <w:bCs/>
          <w:sz w:val="36"/>
          <w:szCs w:val="36"/>
        </w:rPr>
        <w:t>CONVENTION DE GESTION</w:t>
      </w:r>
    </w:p>
    <w:p w14:paraId="63785FCB" w14:textId="77777777" w:rsidR="002778A3" w:rsidRDefault="002778A3" w:rsidP="002778A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CONTRAT GROUPE </w:t>
      </w:r>
    </w:p>
    <w:p w14:paraId="1BFFC883" w14:textId="77777777" w:rsidR="002778A3" w:rsidRDefault="002778A3" w:rsidP="002778A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D’ASSURANCE STATUTAIRE</w:t>
      </w:r>
    </w:p>
    <w:p w14:paraId="3EBC144B" w14:textId="77777777" w:rsidR="002778A3" w:rsidRPr="003D0528" w:rsidRDefault="002778A3" w:rsidP="002778A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2021/2024</w:t>
      </w:r>
    </w:p>
    <w:p w14:paraId="50635EC2" w14:textId="77777777" w:rsidR="002778A3" w:rsidRPr="00B9719B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F370655" w14:textId="77777777" w:rsidR="002778A3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CFA93CA" w14:textId="77777777" w:rsidR="002778A3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9719B">
        <w:rPr>
          <w:b/>
          <w:bCs/>
          <w:sz w:val="20"/>
          <w:szCs w:val="20"/>
        </w:rPr>
        <w:t>Entre les soussignés :</w:t>
      </w:r>
    </w:p>
    <w:p w14:paraId="44048CF7" w14:textId="77777777" w:rsidR="002778A3" w:rsidRPr="00B9719B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DA0BEBC" w14:textId="77777777" w:rsidR="002778A3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  <w:r w:rsidRPr="00B9719B">
        <w:rPr>
          <w:sz w:val="20"/>
          <w:szCs w:val="20"/>
        </w:rPr>
        <w:t>Le Centre de Gestion d’Indre-et-Loire</w:t>
      </w:r>
      <w:r>
        <w:rPr>
          <w:sz w:val="20"/>
          <w:szCs w:val="20"/>
        </w:rPr>
        <w:t xml:space="preserve"> (CDG 37), domicilié</w:t>
      </w:r>
      <w:r w:rsidRPr="00B971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25 rue du rempart, CS 14135, 37041 TOURS CEDEX 1, </w:t>
      </w:r>
    </w:p>
    <w:p w14:paraId="1AC23ECA" w14:textId="77777777" w:rsidR="002778A3" w:rsidRPr="00C87057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9719B">
        <w:rPr>
          <w:sz w:val="20"/>
          <w:szCs w:val="20"/>
        </w:rPr>
        <w:t>représenté</w:t>
      </w:r>
      <w:proofErr w:type="gramEnd"/>
      <w:r w:rsidRPr="00B9719B">
        <w:rPr>
          <w:sz w:val="20"/>
          <w:szCs w:val="20"/>
        </w:rPr>
        <w:t xml:space="preserve"> par son Président, </w:t>
      </w:r>
      <w:r>
        <w:rPr>
          <w:sz w:val="20"/>
          <w:szCs w:val="20"/>
        </w:rPr>
        <w:t xml:space="preserve">Jean-Gérard PAUMIER, </w:t>
      </w:r>
    </w:p>
    <w:p w14:paraId="28EF950A" w14:textId="77777777" w:rsidR="002778A3" w:rsidRDefault="002778A3" w:rsidP="002778A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A356951" w14:textId="77777777" w:rsidR="002778A3" w:rsidRPr="00B9719B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Dénommé</w:t>
      </w:r>
      <w:r w:rsidRPr="005E46EA">
        <w:rPr>
          <w:b/>
          <w:sz w:val="20"/>
          <w:szCs w:val="20"/>
        </w:rPr>
        <w:t xml:space="preserve"> ci-après « le gestionnaire</w:t>
      </w:r>
      <w:r>
        <w:rPr>
          <w:sz w:val="20"/>
          <w:szCs w:val="20"/>
        </w:rPr>
        <w:t> »</w:t>
      </w:r>
    </w:p>
    <w:p w14:paraId="3E16033F" w14:textId="77777777" w:rsidR="002778A3" w:rsidRPr="00B9719B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D8751EA" w14:textId="77777777" w:rsidR="002778A3" w:rsidRPr="00B9719B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 w:rsidRPr="00B9719B">
        <w:rPr>
          <w:b/>
          <w:bCs/>
          <w:sz w:val="20"/>
          <w:szCs w:val="20"/>
        </w:rPr>
        <w:t>d’une</w:t>
      </w:r>
      <w:proofErr w:type="gramEnd"/>
      <w:r w:rsidRPr="00B9719B">
        <w:rPr>
          <w:b/>
          <w:bCs/>
          <w:sz w:val="20"/>
          <w:szCs w:val="20"/>
        </w:rPr>
        <w:t xml:space="preserve"> part,</w:t>
      </w:r>
    </w:p>
    <w:p w14:paraId="7B5E6987" w14:textId="77777777" w:rsidR="002778A3" w:rsidRPr="00B9719B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</w:p>
    <w:p w14:paraId="7003530E" w14:textId="77777777" w:rsidR="002778A3" w:rsidRPr="00B9719B" w:rsidRDefault="002778A3" w:rsidP="002778A3">
      <w:pPr>
        <w:autoSpaceDE w:val="0"/>
        <w:autoSpaceDN w:val="0"/>
        <w:adjustRightInd w:val="0"/>
        <w:rPr>
          <w:noProof/>
          <w:sz w:val="20"/>
          <w:szCs w:val="20"/>
        </w:rPr>
      </w:pPr>
      <w:bookmarkStart w:id="0" w:name="_Hlk58484394"/>
      <w:r>
        <w:rPr>
          <w:sz w:val="20"/>
          <w:szCs w:val="20"/>
        </w:rPr>
        <w:t>Et la/le……………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.(dénomination),………………………………………………………..(adresse)</w:t>
      </w:r>
      <w:r w:rsidRPr="00B9719B">
        <w:rPr>
          <w:sz w:val="20"/>
          <w:szCs w:val="20"/>
        </w:rPr>
        <w:t>,</w:t>
      </w:r>
    </w:p>
    <w:p w14:paraId="4A963965" w14:textId="77777777" w:rsidR="002778A3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</w:p>
    <w:p w14:paraId="0024B488" w14:textId="77777777" w:rsidR="002778A3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E39EE">
        <w:rPr>
          <w:b/>
          <w:sz w:val="20"/>
          <w:szCs w:val="20"/>
        </w:rPr>
        <w:fldChar w:fldCharType="begin"/>
      </w:r>
      <w:r w:rsidRPr="006E39EE">
        <w:rPr>
          <w:b/>
          <w:sz w:val="20"/>
          <w:szCs w:val="20"/>
        </w:rPr>
        <w:instrText xml:space="preserve"> IF </w:instrTex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MERGEFIELD Nom_de_létablissement </w:instrText>
      </w:r>
      <w:r>
        <w:rPr>
          <w:b/>
          <w:sz w:val="20"/>
          <w:szCs w:val="20"/>
        </w:rPr>
        <w:fldChar w:fldCharType="separate"/>
      </w:r>
      <w:r w:rsidRPr="001934BC">
        <w:rPr>
          <w:b/>
          <w:noProof/>
          <w:sz w:val="20"/>
          <w:szCs w:val="20"/>
        </w:rPr>
        <w:instrText>AGENCE DÉPARTEMENTALE D'AIDE AUX COLLECTIVITÉS LOCALES (ADAC)</w:instrText>
      </w:r>
      <w:r>
        <w:rPr>
          <w:b/>
          <w:sz w:val="20"/>
          <w:szCs w:val="20"/>
        </w:rPr>
        <w:fldChar w:fldCharType="end"/>
      </w:r>
      <w:r w:rsidRPr="006E39EE">
        <w:rPr>
          <w:b/>
          <w:sz w:val="20"/>
          <w:szCs w:val="20"/>
        </w:rPr>
        <w:instrText xml:space="preserve"> = "la" "Dénommée" "Dénommé" </w:instrText>
      </w:r>
      <w:r w:rsidRPr="006E39EE">
        <w:rPr>
          <w:b/>
          <w:sz w:val="20"/>
          <w:szCs w:val="20"/>
        </w:rPr>
        <w:fldChar w:fldCharType="separate"/>
      </w:r>
      <w:r w:rsidRPr="006E39EE">
        <w:rPr>
          <w:b/>
          <w:noProof/>
          <w:sz w:val="20"/>
          <w:szCs w:val="20"/>
        </w:rPr>
        <w:t>Dénommé</w:t>
      </w:r>
      <w:r w:rsidRPr="006E39E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(e)</w:t>
      </w:r>
      <w:r w:rsidRPr="00737794">
        <w:rPr>
          <w:b/>
          <w:sz w:val="20"/>
          <w:szCs w:val="20"/>
        </w:rPr>
        <w:t xml:space="preserve"> ci-après « la Collectivité</w:t>
      </w:r>
      <w:r>
        <w:rPr>
          <w:sz w:val="20"/>
          <w:szCs w:val="20"/>
        </w:rPr>
        <w:t> »</w:t>
      </w:r>
    </w:p>
    <w:p w14:paraId="1B2E7AE8" w14:textId="77777777" w:rsidR="002778A3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12DE448" w14:textId="77777777" w:rsidR="002778A3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d</w:t>
      </w:r>
      <w:r w:rsidRPr="00B9719B">
        <w:rPr>
          <w:b/>
          <w:bCs/>
          <w:sz w:val="20"/>
          <w:szCs w:val="20"/>
        </w:rPr>
        <w:t>’autre</w:t>
      </w:r>
      <w:proofErr w:type="gramEnd"/>
      <w:r w:rsidRPr="00B9719B">
        <w:rPr>
          <w:b/>
          <w:bCs/>
          <w:sz w:val="20"/>
          <w:szCs w:val="20"/>
        </w:rPr>
        <w:t xml:space="preserve"> part,</w:t>
      </w:r>
    </w:p>
    <w:p w14:paraId="389B89C1" w14:textId="77777777" w:rsidR="002778A3" w:rsidRPr="00B9719B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20084A9" w14:textId="77777777" w:rsidR="002778A3" w:rsidRPr="00B9719B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9719B">
        <w:rPr>
          <w:b/>
          <w:bCs/>
          <w:sz w:val="20"/>
          <w:szCs w:val="20"/>
        </w:rPr>
        <w:t>Il a été convenu ce qui suit :</w:t>
      </w:r>
    </w:p>
    <w:bookmarkEnd w:id="0"/>
    <w:p w14:paraId="28EE0F2D" w14:textId="77777777" w:rsidR="002778A3" w:rsidRPr="00DC7D76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FC90BA3" w14:textId="77777777" w:rsidR="002778A3" w:rsidRPr="00737794" w:rsidRDefault="002778A3" w:rsidP="002778A3">
      <w:pPr>
        <w:rPr>
          <w:b/>
          <w:sz w:val="20"/>
          <w:szCs w:val="20"/>
          <w:u w:val="single"/>
        </w:rPr>
      </w:pPr>
      <w:r w:rsidRPr="00737794">
        <w:rPr>
          <w:b/>
          <w:sz w:val="20"/>
          <w:szCs w:val="20"/>
          <w:u w:val="single"/>
        </w:rPr>
        <w:t>PREAMBULE</w:t>
      </w:r>
    </w:p>
    <w:p w14:paraId="6ED04155" w14:textId="77777777" w:rsidR="002778A3" w:rsidRPr="00737794" w:rsidRDefault="002778A3" w:rsidP="002778A3">
      <w:pPr>
        <w:rPr>
          <w:b/>
          <w:sz w:val="20"/>
          <w:szCs w:val="20"/>
          <w:u w:val="single"/>
        </w:rPr>
      </w:pPr>
    </w:p>
    <w:p w14:paraId="466740E8" w14:textId="77777777" w:rsidR="002778A3" w:rsidRPr="00A9598C" w:rsidRDefault="002778A3" w:rsidP="002778A3">
      <w:pPr>
        <w:rPr>
          <w:sz w:val="20"/>
          <w:szCs w:val="20"/>
        </w:rPr>
      </w:pPr>
      <w:r w:rsidRPr="00737794">
        <w:rPr>
          <w:sz w:val="20"/>
          <w:szCs w:val="20"/>
        </w:rPr>
        <w:t>En application de l’article 26 de la loi n°84-53 du 26 janvier 1984, le CDG</w:t>
      </w:r>
      <w:r>
        <w:rPr>
          <w:sz w:val="20"/>
          <w:szCs w:val="20"/>
        </w:rPr>
        <w:t xml:space="preserve"> 37</w:t>
      </w:r>
      <w:r w:rsidRPr="00737794">
        <w:rPr>
          <w:sz w:val="20"/>
          <w:szCs w:val="20"/>
        </w:rPr>
        <w:t xml:space="preserve"> a souscrit</w:t>
      </w:r>
      <w:r>
        <w:rPr>
          <w:sz w:val="20"/>
          <w:szCs w:val="20"/>
        </w:rPr>
        <w:t xml:space="preserve"> à compter du </w:t>
      </w:r>
      <w:r w:rsidRPr="00A9598C">
        <w:rPr>
          <w:sz w:val="20"/>
          <w:szCs w:val="20"/>
        </w:rPr>
        <w:t>1</w:t>
      </w:r>
      <w:r w:rsidRPr="00A9598C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janvier 2021</w:t>
      </w:r>
      <w:r w:rsidRPr="00A9598C">
        <w:rPr>
          <w:sz w:val="20"/>
          <w:szCs w:val="20"/>
        </w:rPr>
        <w:t xml:space="preserve"> un contrat groupe d'assurance à adhésion facultative "Risques statutaires du personnel" garantissant les obligations statutaires des collectivités territoriales et établissements publics affiliés ou non au Centre de Gestion de la Fonction Publique Territoriale vis-à-vis de leurs agents et pour lui-même auprès du groupement </w:t>
      </w:r>
      <w:r>
        <w:rPr>
          <w:sz w:val="20"/>
          <w:szCs w:val="20"/>
        </w:rPr>
        <w:t>Relyens / CNP Assurances</w:t>
      </w:r>
      <w:r w:rsidRPr="00A9598C">
        <w:rPr>
          <w:sz w:val="20"/>
          <w:szCs w:val="20"/>
        </w:rPr>
        <w:t xml:space="preserve">. </w:t>
      </w:r>
    </w:p>
    <w:p w14:paraId="0231D4D5" w14:textId="77777777" w:rsidR="002778A3" w:rsidRPr="00A9598C" w:rsidRDefault="002778A3" w:rsidP="002778A3">
      <w:pPr>
        <w:rPr>
          <w:sz w:val="20"/>
          <w:szCs w:val="20"/>
        </w:rPr>
      </w:pPr>
    </w:p>
    <w:p w14:paraId="4CBEACF8" w14:textId="77777777" w:rsidR="002778A3" w:rsidRPr="00737794" w:rsidRDefault="002778A3" w:rsidP="002778A3">
      <w:pPr>
        <w:rPr>
          <w:sz w:val="20"/>
          <w:szCs w:val="20"/>
        </w:rPr>
      </w:pPr>
      <w:r w:rsidRPr="00A9598C">
        <w:rPr>
          <w:sz w:val="20"/>
          <w:szCs w:val="20"/>
        </w:rPr>
        <w:t>Ce contrat a été souscrit après une procédure négociée après publicité préalable et mise en concurrence en application de l’article 35-I-2° du Code des marchés publics.</w:t>
      </w:r>
    </w:p>
    <w:p w14:paraId="49FE8BC6" w14:textId="77777777" w:rsidR="002778A3" w:rsidRPr="00737794" w:rsidRDefault="002778A3" w:rsidP="002778A3">
      <w:pPr>
        <w:rPr>
          <w:sz w:val="20"/>
          <w:szCs w:val="20"/>
        </w:rPr>
      </w:pPr>
    </w:p>
    <w:p w14:paraId="45450811" w14:textId="77777777" w:rsidR="002778A3" w:rsidRPr="00737794" w:rsidRDefault="002778A3" w:rsidP="002778A3">
      <w:pPr>
        <w:rPr>
          <w:sz w:val="20"/>
          <w:szCs w:val="20"/>
        </w:rPr>
      </w:pPr>
      <w:r w:rsidRPr="00737794">
        <w:rPr>
          <w:sz w:val="20"/>
          <w:szCs w:val="20"/>
        </w:rPr>
        <w:t>Dans le cadre strict de l’ensemble des clauses et éléments du contrat ainsi retenu par le CDG</w:t>
      </w:r>
      <w:r>
        <w:rPr>
          <w:sz w:val="20"/>
          <w:szCs w:val="20"/>
        </w:rPr>
        <w:t xml:space="preserve"> 37, la collectivité </w:t>
      </w:r>
      <w:r w:rsidRPr="00737794">
        <w:rPr>
          <w:sz w:val="20"/>
          <w:szCs w:val="20"/>
        </w:rPr>
        <w:t xml:space="preserve">a décidé d’adhérer au </w:t>
      </w:r>
      <w:r>
        <w:rPr>
          <w:sz w:val="20"/>
          <w:szCs w:val="20"/>
        </w:rPr>
        <w:t>contrat groupe d’assurance statutaire et de recourir au service de gestion du</w:t>
      </w:r>
      <w:r w:rsidRPr="00737794">
        <w:rPr>
          <w:sz w:val="20"/>
          <w:szCs w:val="20"/>
        </w:rPr>
        <w:t xml:space="preserve"> CDG</w:t>
      </w:r>
      <w:r>
        <w:rPr>
          <w:sz w:val="20"/>
          <w:szCs w:val="20"/>
        </w:rPr>
        <w:t xml:space="preserve"> 37</w:t>
      </w:r>
      <w:r w:rsidRPr="00737794">
        <w:rPr>
          <w:sz w:val="20"/>
          <w:szCs w:val="20"/>
        </w:rPr>
        <w:t xml:space="preserve"> dans les conditions ci-après exposées.</w:t>
      </w:r>
    </w:p>
    <w:p w14:paraId="0453458D" w14:textId="77777777" w:rsidR="002778A3" w:rsidRDefault="002778A3" w:rsidP="002778A3">
      <w:pPr>
        <w:rPr>
          <w:b/>
          <w:sz w:val="20"/>
          <w:szCs w:val="20"/>
          <w:u w:val="single"/>
        </w:rPr>
      </w:pPr>
    </w:p>
    <w:p w14:paraId="099FEFBE" w14:textId="77777777" w:rsidR="002778A3" w:rsidRPr="00507D80" w:rsidRDefault="002778A3" w:rsidP="002778A3">
      <w:pPr>
        <w:rPr>
          <w:b/>
          <w:sz w:val="20"/>
          <w:szCs w:val="20"/>
        </w:rPr>
      </w:pPr>
    </w:p>
    <w:p w14:paraId="57BD045E" w14:textId="77777777" w:rsidR="002778A3" w:rsidRPr="00507D80" w:rsidRDefault="002778A3" w:rsidP="002778A3">
      <w:pPr>
        <w:rPr>
          <w:b/>
          <w:sz w:val="20"/>
          <w:szCs w:val="20"/>
        </w:rPr>
      </w:pPr>
      <w:r w:rsidRPr="00507D80">
        <w:rPr>
          <w:b/>
          <w:sz w:val="20"/>
          <w:szCs w:val="20"/>
        </w:rPr>
        <w:t>ARTICLE 1 – OBJET DE LA CONVENTION</w:t>
      </w:r>
    </w:p>
    <w:p w14:paraId="095D7AC5" w14:textId="77777777" w:rsidR="002778A3" w:rsidRPr="00DC7D76" w:rsidRDefault="002778A3" w:rsidP="002778A3">
      <w:pPr>
        <w:rPr>
          <w:sz w:val="20"/>
          <w:szCs w:val="20"/>
        </w:rPr>
      </w:pPr>
    </w:p>
    <w:p w14:paraId="623B8B44" w14:textId="77777777" w:rsidR="002778A3" w:rsidRPr="00DC7D76" w:rsidRDefault="002778A3" w:rsidP="002778A3">
      <w:pPr>
        <w:rPr>
          <w:sz w:val="20"/>
          <w:szCs w:val="20"/>
        </w:rPr>
      </w:pPr>
      <w:r w:rsidRPr="00DC7D76">
        <w:rPr>
          <w:sz w:val="20"/>
          <w:szCs w:val="20"/>
        </w:rPr>
        <w:t xml:space="preserve">Dans le cadre de l’article 25 de la loi n°84-53 du 26 janvier 1984, la présente convention définit les conditions dans lesquelles s’établissent et s’organisent, entre le </w:t>
      </w:r>
      <w:r>
        <w:rPr>
          <w:sz w:val="20"/>
          <w:szCs w:val="20"/>
        </w:rPr>
        <w:t>gestionnaire</w:t>
      </w:r>
      <w:r w:rsidRPr="002350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et </w:t>
      </w:r>
      <w:r w:rsidRPr="00DC7D76">
        <w:rPr>
          <w:sz w:val="20"/>
          <w:szCs w:val="20"/>
        </w:rPr>
        <w:t xml:space="preserve">la collectivité, les relations relatives à la gestion </w:t>
      </w:r>
      <w:r>
        <w:rPr>
          <w:sz w:val="20"/>
          <w:szCs w:val="20"/>
        </w:rPr>
        <w:t>du contrat d’assurance statutaire souscrit</w:t>
      </w:r>
      <w:r w:rsidRPr="00DC7D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 </w:t>
      </w:r>
      <w:r w:rsidRPr="00DC7D76">
        <w:rPr>
          <w:sz w:val="20"/>
          <w:szCs w:val="20"/>
        </w:rPr>
        <w:t>la collectivité.</w:t>
      </w:r>
    </w:p>
    <w:p w14:paraId="215A9648" w14:textId="77777777" w:rsidR="002778A3" w:rsidRPr="00DC7D76" w:rsidRDefault="002778A3" w:rsidP="002778A3">
      <w:pPr>
        <w:rPr>
          <w:sz w:val="20"/>
          <w:szCs w:val="20"/>
        </w:rPr>
      </w:pPr>
    </w:p>
    <w:p w14:paraId="2B44152F" w14:textId="77777777" w:rsidR="002778A3" w:rsidRPr="00DC7D76" w:rsidRDefault="002778A3" w:rsidP="002778A3">
      <w:pPr>
        <w:rPr>
          <w:sz w:val="20"/>
          <w:szCs w:val="20"/>
        </w:rPr>
      </w:pPr>
      <w:r w:rsidRPr="00DC7D76">
        <w:rPr>
          <w:sz w:val="20"/>
          <w:szCs w:val="20"/>
        </w:rPr>
        <w:t xml:space="preserve">La collectivité confie au </w:t>
      </w:r>
      <w:r>
        <w:rPr>
          <w:sz w:val="20"/>
          <w:szCs w:val="20"/>
        </w:rPr>
        <w:t>gestionnaire</w:t>
      </w:r>
      <w:r w:rsidRPr="00DC7D76">
        <w:rPr>
          <w:sz w:val="20"/>
          <w:szCs w:val="20"/>
        </w:rPr>
        <w:t xml:space="preserve"> la réalisation des tâches liées à la gestion de ses contrats d’assurance souscrits auprès de </w:t>
      </w:r>
      <w:r>
        <w:rPr>
          <w:sz w:val="20"/>
          <w:szCs w:val="20"/>
        </w:rPr>
        <w:t xml:space="preserve">CNP Assurances </w:t>
      </w:r>
      <w:r w:rsidRPr="00DC7D76">
        <w:rPr>
          <w:sz w:val="20"/>
          <w:szCs w:val="20"/>
        </w:rPr>
        <w:t>et gérées par l’intermédiaire de </w:t>
      </w:r>
      <w:r>
        <w:rPr>
          <w:sz w:val="20"/>
          <w:szCs w:val="20"/>
        </w:rPr>
        <w:t>Relyens.</w:t>
      </w:r>
    </w:p>
    <w:p w14:paraId="6DED7B6C" w14:textId="77777777" w:rsidR="002778A3" w:rsidRPr="00DC7D76" w:rsidRDefault="002778A3" w:rsidP="002778A3">
      <w:pPr>
        <w:rPr>
          <w:sz w:val="20"/>
          <w:szCs w:val="20"/>
        </w:rPr>
      </w:pPr>
    </w:p>
    <w:p w14:paraId="4AA4C5C9" w14:textId="77777777" w:rsidR="002778A3" w:rsidRPr="00507D80" w:rsidRDefault="002778A3" w:rsidP="002778A3">
      <w:pPr>
        <w:rPr>
          <w:b/>
          <w:sz w:val="20"/>
          <w:szCs w:val="20"/>
        </w:rPr>
      </w:pPr>
      <w:r w:rsidRPr="00507D80">
        <w:rPr>
          <w:b/>
          <w:sz w:val="20"/>
          <w:szCs w:val="20"/>
        </w:rPr>
        <w:t xml:space="preserve">ARTICLE 2 – </w:t>
      </w:r>
      <w:r>
        <w:rPr>
          <w:b/>
          <w:sz w:val="20"/>
          <w:szCs w:val="20"/>
        </w:rPr>
        <w:t>MODALITES D’EXECUTION</w:t>
      </w:r>
    </w:p>
    <w:p w14:paraId="2E448B0F" w14:textId="77777777" w:rsidR="002778A3" w:rsidRPr="00DC7D76" w:rsidRDefault="002778A3" w:rsidP="002778A3">
      <w:pPr>
        <w:rPr>
          <w:sz w:val="20"/>
          <w:szCs w:val="20"/>
        </w:rPr>
      </w:pPr>
    </w:p>
    <w:p w14:paraId="16978C87" w14:textId="77777777" w:rsidR="002778A3" w:rsidRDefault="002778A3" w:rsidP="002778A3">
      <w:pPr>
        <w:rPr>
          <w:sz w:val="20"/>
          <w:szCs w:val="20"/>
        </w:rPr>
      </w:pPr>
      <w:r w:rsidRPr="00DC7D76">
        <w:rPr>
          <w:sz w:val="20"/>
          <w:szCs w:val="20"/>
        </w:rPr>
        <w:t xml:space="preserve">Le </w:t>
      </w:r>
      <w:r>
        <w:rPr>
          <w:sz w:val="20"/>
          <w:szCs w:val="20"/>
        </w:rPr>
        <w:t>CDG 37</w:t>
      </w:r>
      <w:r w:rsidRPr="00DC7D76">
        <w:rPr>
          <w:sz w:val="20"/>
          <w:szCs w:val="20"/>
        </w:rPr>
        <w:t xml:space="preserve"> exécute sa mission conformément aux dispositions de la présente convention et des conditions générales et particulières des contrats d’assurance.</w:t>
      </w:r>
    </w:p>
    <w:p w14:paraId="4EF6D4DC" w14:textId="77777777" w:rsidR="002778A3" w:rsidRDefault="002778A3" w:rsidP="002778A3">
      <w:pPr>
        <w:rPr>
          <w:sz w:val="20"/>
          <w:szCs w:val="20"/>
        </w:rPr>
      </w:pPr>
    </w:p>
    <w:p w14:paraId="6E50D024" w14:textId="77777777" w:rsidR="002778A3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 xml:space="preserve">Le CDG 37 </w:t>
      </w:r>
      <w:r w:rsidRPr="00DC7D76">
        <w:rPr>
          <w:sz w:val="20"/>
          <w:szCs w:val="20"/>
        </w:rPr>
        <w:t>définit l’organisation et les moyens propres à l’accomplissement de sa mission. Il bénéficie des moyens qui sont mis à sa disposition par</w:t>
      </w:r>
      <w:r>
        <w:rPr>
          <w:sz w:val="20"/>
          <w:szCs w:val="20"/>
        </w:rPr>
        <w:t> CNP Assurances ou Relyens</w:t>
      </w:r>
      <w:r w:rsidRPr="00DC7D76">
        <w:rPr>
          <w:sz w:val="20"/>
          <w:szCs w:val="20"/>
        </w:rPr>
        <w:t xml:space="preserve"> notamment dans le domaine de la formation de ses agents et dans ce</w:t>
      </w:r>
      <w:r>
        <w:rPr>
          <w:sz w:val="20"/>
          <w:szCs w:val="20"/>
        </w:rPr>
        <w:t>lui du traitement des dossiers si</w:t>
      </w:r>
      <w:r w:rsidRPr="00DC7D76">
        <w:rPr>
          <w:sz w:val="20"/>
          <w:szCs w:val="20"/>
        </w:rPr>
        <w:t>nistres.</w:t>
      </w:r>
    </w:p>
    <w:p w14:paraId="2D4DD536" w14:textId="77777777" w:rsidR="002778A3" w:rsidRDefault="002778A3" w:rsidP="002778A3">
      <w:pPr>
        <w:rPr>
          <w:sz w:val="20"/>
          <w:szCs w:val="20"/>
        </w:rPr>
      </w:pPr>
    </w:p>
    <w:p w14:paraId="1DF95442" w14:textId="77777777" w:rsidR="002778A3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>Le CDG 37 tient à jour la liste des personnels couverts par les contrats d’assurance, avec pour chacun d’eux, l’ensemble des données prévues par les conditions générales établies par CNP Assurances ou Relyens.</w:t>
      </w:r>
    </w:p>
    <w:p w14:paraId="01222113" w14:textId="77777777" w:rsidR="002778A3" w:rsidRDefault="002778A3" w:rsidP="002778A3">
      <w:pPr>
        <w:rPr>
          <w:sz w:val="20"/>
          <w:szCs w:val="20"/>
        </w:rPr>
      </w:pPr>
    </w:p>
    <w:p w14:paraId="155B991E" w14:textId="77777777" w:rsidR="002778A3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>La Collectivité met à la disposition du CDG 37 toutes les informations utiles à cette mise à jour.</w:t>
      </w:r>
    </w:p>
    <w:p w14:paraId="760DC4C0" w14:textId="77777777" w:rsidR="002778A3" w:rsidRDefault="002778A3" w:rsidP="002778A3">
      <w:pPr>
        <w:rPr>
          <w:sz w:val="20"/>
          <w:szCs w:val="20"/>
        </w:rPr>
      </w:pPr>
    </w:p>
    <w:p w14:paraId="0941EF94" w14:textId="77777777" w:rsidR="002778A3" w:rsidRPr="000B09DD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>Le CDG 37</w:t>
      </w:r>
      <w:r w:rsidRPr="000B09DD">
        <w:rPr>
          <w:sz w:val="20"/>
          <w:szCs w:val="20"/>
        </w:rPr>
        <w:t xml:space="preserve"> assure</w:t>
      </w:r>
      <w:r>
        <w:rPr>
          <w:sz w:val="20"/>
          <w:szCs w:val="20"/>
        </w:rPr>
        <w:t>,</w:t>
      </w:r>
      <w:r w:rsidRPr="000B09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 liaison avec CNP Assurances ou Relyens, </w:t>
      </w:r>
      <w:r w:rsidRPr="000B09DD">
        <w:rPr>
          <w:sz w:val="20"/>
          <w:szCs w:val="20"/>
        </w:rPr>
        <w:t xml:space="preserve">la préparation et le suivi de la gestion de toutes les phases d’exécution du contrat </w:t>
      </w:r>
      <w:r>
        <w:rPr>
          <w:sz w:val="20"/>
          <w:szCs w:val="20"/>
        </w:rPr>
        <w:t>groupe d’assurance statutaire :</w:t>
      </w:r>
    </w:p>
    <w:p w14:paraId="4190B956" w14:textId="77777777" w:rsidR="002778A3" w:rsidRPr="000B09DD" w:rsidRDefault="002778A3" w:rsidP="002778A3">
      <w:pPr>
        <w:rPr>
          <w:sz w:val="20"/>
          <w:szCs w:val="20"/>
        </w:rPr>
      </w:pPr>
    </w:p>
    <w:p w14:paraId="6822F766" w14:textId="77777777" w:rsidR="002778A3" w:rsidRPr="000B09DD" w:rsidRDefault="002778A3" w:rsidP="002778A3">
      <w:pPr>
        <w:rPr>
          <w:sz w:val="20"/>
          <w:szCs w:val="20"/>
        </w:rPr>
      </w:pPr>
      <w:r w:rsidRPr="000B09DD">
        <w:rPr>
          <w:sz w:val="20"/>
          <w:szCs w:val="20"/>
        </w:rPr>
        <w:t xml:space="preserve">Gestion des contrats d’assurance statutaire </w:t>
      </w:r>
    </w:p>
    <w:p w14:paraId="2079F81F" w14:textId="77777777" w:rsidR="002778A3" w:rsidRPr="000B09DD" w:rsidRDefault="002778A3" w:rsidP="002778A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B09DD">
        <w:rPr>
          <w:sz w:val="20"/>
          <w:szCs w:val="20"/>
        </w:rPr>
        <w:t>Traitement, analyse et contrôle des demandes d’adhésion et remise des dossiers d’assurance.</w:t>
      </w:r>
    </w:p>
    <w:p w14:paraId="02307E9A" w14:textId="77777777" w:rsidR="002778A3" w:rsidRPr="000B09DD" w:rsidRDefault="002778A3" w:rsidP="002778A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B09DD">
        <w:rPr>
          <w:sz w:val="20"/>
          <w:szCs w:val="20"/>
        </w:rPr>
        <w:t xml:space="preserve">Contrôle de la cohérence des informations déclarées </w:t>
      </w:r>
      <w:r>
        <w:rPr>
          <w:sz w:val="20"/>
          <w:szCs w:val="20"/>
        </w:rPr>
        <w:t>par la Collectivité</w:t>
      </w:r>
      <w:r w:rsidRPr="000B09DD">
        <w:rPr>
          <w:sz w:val="20"/>
          <w:szCs w:val="20"/>
        </w:rPr>
        <w:t xml:space="preserve"> (traitement et options servant au calcul des bases de l’assurance),</w:t>
      </w:r>
    </w:p>
    <w:p w14:paraId="19759C69" w14:textId="77777777" w:rsidR="002778A3" w:rsidRPr="000B09DD" w:rsidRDefault="002778A3" w:rsidP="002778A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B09DD">
        <w:rPr>
          <w:sz w:val="20"/>
          <w:szCs w:val="20"/>
        </w:rPr>
        <w:t>Gestion des quittances prévisionnelles et complémentaires,</w:t>
      </w:r>
    </w:p>
    <w:p w14:paraId="4FFE200B" w14:textId="77777777" w:rsidR="002778A3" w:rsidRPr="000B09DD" w:rsidRDefault="002778A3" w:rsidP="002778A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B09DD">
        <w:rPr>
          <w:sz w:val="20"/>
          <w:szCs w:val="20"/>
        </w:rPr>
        <w:t>Traitement des demandes d’informations</w:t>
      </w:r>
      <w:r>
        <w:rPr>
          <w:sz w:val="20"/>
          <w:szCs w:val="20"/>
        </w:rPr>
        <w:t xml:space="preserve"> de la Collectivité</w:t>
      </w:r>
      <w:r w:rsidRPr="000B09DD">
        <w:rPr>
          <w:sz w:val="20"/>
          <w:szCs w:val="20"/>
        </w:rPr>
        <w:t>.</w:t>
      </w:r>
    </w:p>
    <w:p w14:paraId="632023CE" w14:textId="77777777" w:rsidR="002778A3" w:rsidRPr="000B09DD" w:rsidRDefault="002778A3" w:rsidP="002778A3">
      <w:pPr>
        <w:rPr>
          <w:sz w:val="20"/>
          <w:szCs w:val="20"/>
        </w:rPr>
      </w:pPr>
    </w:p>
    <w:p w14:paraId="630A7F8F" w14:textId="77777777" w:rsidR="002778A3" w:rsidRPr="000B09DD" w:rsidRDefault="002778A3" w:rsidP="002778A3">
      <w:pPr>
        <w:rPr>
          <w:sz w:val="20"/>
          <w:szCs w:val="20"/>
        </w:rPr>
      </w:pPr>
      <w:r w:rsidRPr="000B09DD">
        <w:rPr>
          <w:sz w:val="20"/>
          <w:szCs w:val="20"/>
        </w:rPr>
        <w:t>Gestion des demandes d’indemnisation</w:t>
      </w:r>
    </w:p>
    <w:p w14:paraId="24CC761B" w14:textId="77777777" w:rsidR="002778A3" w:rsidRPr="000B09DD" w:rsidRDefault="002778A3" w:rsidP="002778A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B09DD">
        <w:rPr>
          <w:sz w:val="20"/>
          <w:szCs w:val="20"/>
        </w:rPr>
        <w:t xml:space="preserve">Préconisation </w:t>
      </w:r>
      <w:r>
        <w:rPr>
          <w:sz w:val="20"/>
          <w:szCs w:val="20"/>
        </w:rPr>
        <w:t>à la Collectivité</w:t>
      </w:r>
      <w:r w:rsidRPr="000B09DD">
        <w:rPr>
          <w:sz w:val="20"/>
          <w:szCs w:val="20"/>
        </w:rPr>
        <w:t xml:space="preserve"> des pistes concernant la gestion </w:t>
      </w:r>
      <w:r>
        <w:rPr>
          <w:sz w:val="20"/>
          <w:szCs w:val="20"/>
        </w:rPr>
        <w:t>de ses</w:t>
      </w:r>
      <w:r w:rsidRPr="000B09DD">
        <w:rPr>
          <w:sz w:val="20"/>
          <w:szCs w:val="20"/>
        </w:rPr>
        <w:t xml:space="preserve"> dossiers,</w:t>
      </w:r>
    </w:p>
    <w:p w14:paraId="52DBA587" w14:textId="77777777" w:rsidR="002778A3" w:rsidRPr="000B09DD" w:rsidRDefault="002778A3" w:rsidP="002778A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B09DD">
        <w:rPr>
          <w:sz w:val="20"/>
          <w:szCs w:val="20"/>
        </w:rPr>
        <w:t>Vérification de l’exactitude et de la complétude de</w:t>
      </w:r>
      <w:r>
        <w:rPr>
          <w:sz w:val="20"/>
          <w:szCs w:val="20"/>
        </w:rPr>
        <w:t xml:space="preserve"> se</w:t>
      </w:r>
      <w:r w:rsidRPr="000B09DD">
        <w:rPr>
          <w:sz w:val="20"/>
          <w:szCs w:val="20"/>
        </w:rPr>
        <w:t>s dossiers,</w:t>
      </w:r>
    </w:p>
    <w:p w14:paraId="4F69FCF7" w14:textId="77777777" w:rsidR="002778A3" w:rsidRPr="000B09DD" w:rsidRDefault="002778A3" w:rsidP="002778A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B09DD">
        <w:rPr>
          <w:sz w:val="20"/>
          <w:szCs w:val="20"/>
        </w:rPr>
        <w:t xml:space="preserve">Contrôle et validation </w:t>
      </w:r>
      <w:r>
        <w:rPr>
          <w:sz w:val="20"/>
          <w:szCs w:val="20"/>
        </w:rPr>
        <w:t>des saisies de la Collectivité</w:t>
      </w:r>
      <w:r w:rsidRPr="000B09DD">
        <w:rPr>
          <w:sz w:val="20"/>
          <w:szCs w:val="20"/>
        </w:rPr>
        <w:t>,</w:t>
      </w:r>
    </w:p>
    <w:p w14:paraId="301A702A" w14:textId="77777777" w:rsidR="002778A3" w:rsidRPr="000B09DD" w:rsidRDefault="002778A3" w:rsidP="002778A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B09DD">
        <w:rPr>
          <w:sz w:val="20"/>
          <w:szCs w:val="20"/>
        </w:rPr>
        <w:t xml:space="preserve">Remboursement </w:t>
      </w:r>
      <w:r>
        <w:rPr>
          <w:sz w:val="20"/>
          <w:szCs w:val="20"/>
        </w:rPr>
        <w:t>à la Collectivité</w:t>
      </w:r>
      <w:r w:rsidRPr="000B09DD">
        <w:rPr>
          <w:sz w:val="20"/>
          <w:szCs w:val="20"/>
        </w:rPr>
        <w:t xml:space="preserve"> et aux praticiens des sinistres déclarés,</w:t>
      </w:r>
    </w:p>
    <w:p w14:paraId="014DCC56" w14:textId="77777777" w:rsidR="002778A3" w:rsidRPr="000B09DD" w:rsidRDefault="002778A3" w:rsidP="002778A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B09DD">
        <w:rPr>
          <w:sz w:val="20"/>
          <w:szCs w:val="20"/>
        </w:rPr>
        <w:t>Interface avec le courtier pour toutes les questions courantes liées à la gestion des dossiers et pour les dossiers complexes ou déclarés hors délais.</w:t>
      </w:r>
    </w:p>
    <w:p w14:paraId="20A4A0E3" w14:textId="77777777" w:rsidR="002778A3" w:rsidRPr="000B09DD" w:rsidRDefault="002778A3" w:rsidP="002778A3">
      <w:pPr>
        <w:rPr>
          <w:sz w:val="20"/>
          <w:szCs w:val="20"/>
        </w:rPr>
      </w:pPr>
    </w:p>
    <w:p w14:paraId="66BCED4B" w14:textId="77777777" w:rsidR="002778A3" w:rsidRPr="000B09DD" w:rsidRDefault="002778A3" w:rsidP="002778A3">
      <w:pPr>
        <w:rPr>
          <w:sz w:val="20"/>
          <w:szCs w:val="20"/>
        </w:rPr>
      </w:pPr>
      <w:r w:rsidRPr="000B09DD">
        <w:rPr>
          <w:sz w:val="20"/>
          <w:szCs w:val="20"/>
        </w:rPr>
        <w:t>Gestion des prestations complémentaires du contrat :</w:t>
      </w:r>
    </w:p>
    <w:p w14:paraId="78E850DD" w14:textId="77777777" w:rsidR="002778A3" w:rsidRPr="000B09DD" w:rsidRDefault="002778A3" w:rsidP="002778A3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0B09DD">
        <w:rPr>
          <w:sz w:val="20"/>
          <w:szCs w:val="20"/>
        </w:rPr>
        <w:t xml:space="preserve">Information </w:t>
      </w:r>
      <w:r>
        <w:rPr>
          <w:sz w:val="20"/>
          <w:szCs w:val="20"/>
        </w:rPr>
        <w:t>de la Collectivité</w:t>
      </w:r>
      <w:r w:rsidRPr="000B09DD">
        <w:rPr>
          <w:sz w:val="20"/>
          <w:szCs w:val="20"/>
        </w:rPr>
        <w:t xml:space="preserve"> sur les programmes proposés</w:t>
      </w:r>
      <w:r>
        <w:rPr>
          <w:sz w:val="20"/>
          <w:szCs w:val="20"/>
        </w:rPr>
        <w:t xml:space="preserve"> par le prestataire d’assurance,</w:t>
      </w:r>
    </w:p>
    <w:p w14:paraId="03732520" w14:textId="77777777" w:rsidR="002778A3" w:rsidRPr="000B09DD" w:rsidRDefault="002778A3" w:rsidP="002778A3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0B09DD">
        <w:rPr>
          <w:sz w:val="20"/>
          <w:szCs w:val="20"/>
        </w:rPr>
        <w:t>Gestion des demandes de contre-visite médicale, d’expertise médicale, de recours, de programmes de soutien psychologique,</w:t>
      </w:r>
    </w:p>
    <w:p w14:paraId="7363F365" w14:textId="77777777" w:rsidR="002778A3" w:rsidRPr="000B09DD" w:rsidRDefault="002778A3" w:rsidP="002778A3">
      <w:pPr>
        <w:rPr>
          <w:sz w:val="20"/>
          <w:szCs w:val="20"/>
        </w:rPr>
      </w:pPr>
    </w:p>
    <w:p w14:paraId="5C7D616D" w14:textId="77777777" w:rsidR="002778A3" w:rsidRPr="000B09DD" w:rsidRDefault="002778A3" w:rsidP="002778A3">
      <w:pPr>
        <w:rPr>
          <w:sz w:val="20"/>
          <w:szCs w:val="20"/>
        </w:rPr>
      </w:pPr>
      <w:r w:rsidRPr="000B09DD">
        <w:rPr>
          <w:sz w:val="20"/>
          <w:szCs w:val="20"/>
        </w:rPr>
        <w:t xml:space="preserve">Conseil </w:t>
      </w:r>
      <w:r>
        <w:rPr>
          <w:sz w:val="20"/>
          <w:szCs w:val="20"/>
        </w:rPr>
        <w:t>à la Collectivité</w:t>
      </w:r>
      <w:r w:rsidRPr="000B09DD">
        <w:rPr>
          <w:sz w:val="20"/>
          <w:szCs w:val="20"/>
        </w:rPr>
        <w:t xml:space="preserve"> :</w:t>
      </w:r>
    </w:p>
    <w:p w14:paraId="510F76A0" w14:textId="77777777" w:rsidR="002778A3" w:rsidRPr="000B09DD" w:rsidRDefault="002778A3" w:rsidP="002778A3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0B09DD">
        <w:rPr>
          <w:sz w:val="20"/>
          <w:szCs w:val="20"/>
        </w:rPr>
        <w:t>Conseils sur les questions relatives à l’absentéisme pour raison de santé,</w:t>
      </w:r>
    </w:p>
    <w:p w14:paraId="5946C4C5" w14:textId="77777777" w:rsidR="002778A3" w:rsidRPr="000B09DD" w:rsidRDefault="002778A3" w:rsidP="002778A3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0B09DD">
        <w:rPr>
          <w:sz w:val="20"/>
          <w:szCs w:val="20"/>
        </w:rPr>
        <w:t xml:space="preserve">Accompagnement dans la marche à suivre pour une gestion optimale de </w:t>
      </w:r>
      <w:r>
        <w:rPr>
          <w:sz w:val="20"/>
          <w:szCs w:val="20"/>
        </w:rPr>
        <w:t>ses</w:t>
      </w:r>
      <w:r w:rsidRPr="000B09DD">
        <w:rPr>
          <w:sz w:val="20"/>
          <w:szCs w:val="20"/>
        </w:rPr>
        <w:t xml:space="preserve"> dossiers,</w:t>
      </w:r>
    </w:p>
    <w:p w14:paraId="0AF7A1F2" w14:textId="77777777" w:rsidR="002778A3" w:rsidRPr="000B09DD" w:rsidRDefault="002778A3" w:rsidP="002778A3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0B09DD">
        <w:rPr>
          <w:sz w:val="20"/>
          <w:szCs w:val="20"/>
        </w:rPr>
        <w:t xml:space="preserve">Conseil dans l’utilisation du progiciel mis à </w:t>
      </w:r>
      <w:r>
        <w:rPr>
          <w:sz w:val="20"/>
          <w:szCs w:val="20"/>
        </w:rPr>
        <w:t>la</w:t>
      </w:r>
      <w:r w:rsidRPr="000B09DD">
        <w:rPr>
          <w:sz w:val="20"/>
          <w:szCs w:val="20"/>
        </w:rPr>
        <w:t xml:space="preserve"> disposition</w:t>
      </w:r>
      <w:r>
        <w:rPr>
          <w:sz w:val="20"/>
          <w:szCs w:val="20"/>
        </w:rPr>
        <w:t xml:space="preserve"> de la Collectivité</w:t>
      </w:r>
      <w:r w:rsidRPr="000B09DD">
        <w:rPr>
          <w:sz w:val="20"/>
          <w:szCs w:val="20"/>
        </w:rPr>
        <w:t>.</w:t>
      </w:r>
    </w:p>
    <w:p w14:paraId="590C755D" w14:textId="77777777" w:rsidR="002778A3" w:rsidRPr="008E5534" w:rsidRDefault="002778A3" w:rsidP="002778A3">
      <w:pPr>
        <w:rPr>
          <w:sz w:val="20"/>
          <w:szCs w:val="20"/>
        </w:rPr>
      </w:pPr>
    </w:p>
    <w:p w14:paraId="4DFF5051" w14:textId="77777777" w:rsidR="002778A3" w:rsidRDefault="002778A3" w:rsidP="002778A3">
      <w:pPr>
        <w:rPr>
          <w:b/>
          <w:sz w:val="20"/>
          <w:szCs w:val="20"/>
        </w:rPr>
      </w:pPr>
    </w:p>
    <w:p w14:paraId="56B923F8" w14:textId="77777777" w:rsidR="002778A3" w:rsidRPr="008E5534" w:rsidRDefault="002778A3" w:rsidP="002778A3">
      <w:pPr>
        <w:rPr>
          <w:sz w:val="20"/>
          <w:szCs w:val="20"/>
        </w:rPr>
      </w:pPr>
      <w:r w:rsidRPr="008E5534">
        <w:rPr>
          <w:b/>
          <w:sz w:val="20"/>
          <w:szCs w:val="20"/>
        </w:rPr>
        <w:t>ARTICLE 3 – FRAIS DE GESTION</w:t>
      </w:r>
    </w:p>
    <w:p w14:paraId="17A5B431" w14:textId="77777777" w:rsidR="002778A3" w:rsidRDefault="002778A3" w:rsidP="002778A3">
      <w:pPr>
        <w:rPr>
          <w:sz w:val="20"/>
          <w:szCs w:val="20"/>
        </w:rPr>
      </w:pPr>
    </w:p>
    <w:p w14:paraId="4AFE8023" w14:textId="77777777" w:rsidR="002778A3" w:rsidRDefault="002778A3" w:rsidP="002778A3">
      <w:pPr>
        <w:rPr>
          <w:sz w:val="20"/>
          <w:szCs w:val="20"/>
        </w:rPr>
      </w:pPr>
      <w:r w:rsidRPr="00507D80">
        <w:rPr>
          <w:sz w:val="20"/>
          <w:szCs w:val="20"/>
        </w:rPr>
        <w:t xml:space="preserve">La réalisation par le gestionnaire des opérations liées à la mise en place </w:t>
      </w:r>
      <w:r w:rsidRPr="002273BF">
        <w:rPr>
          <w:sz w:val="20"/>
          <w:szCs w:val="20"/>
        </w:rPr>
        <w:t>contrat groupe d'assurance à adhésion facultative "Risques statutaires du personnel"</w:t>
      </w:r>
      <w:r w:rsidRPr="00507D80">
        <w:rPr>
          <w:sz w:val="20"/>
          <w:szCs w:val="20"/>
        </w:rPr>
        <w:t xml:space="preserve">, à la souscription et à la gestion </w:t>
      </w:r>
      <w:r>
        <w:rPr>
          <w:sz w:val="20"/>
          <w:szCs w:val="20"/>
        </w:rPr>
        <w:t>de ce contrat groupe</w:t>
      </w:r>
      <w:r w:rsidRPr="00507D80">
        <w:rPr>
          <w:sz w:val="20"/>
          <w:szCs w:val="20"/>
        </w:rPr>
        <w:t xml:space="preserve">, donne lieu </w:t>
      </w:r>
      <w:r>
        <w:rPr>
          <w:sz w:val="20"/>
          <w:szCs w:val="20"/>
        </w:rPr>
        <w:t>au versement d’une participation financière appelée « frais de gestion » par la collectivité auprès du</w:t>
      </w:r>
      <w:r w:rsidRPr="00507D80">
        <w:rPr>
          <w:sz w:val="20"/>
          <w:szCs w:val="20"/>
        </w:rPr>
        <w:t xml:space="preserve"> CDG</w:t>
      </w:r>
      <w:r>
        <w:rPr>
          <w:sz w:val="20"/>
          <w:szCs w:val="20"/>
        </w:rPr>
        <w:t xml:space="preserve"> 37</w:t>
      </w:r>
      <w:r w:rsidRPr="00507D8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0868B5E" w14:textId="77777777" w:rsidR="002778A3" w:rsidRDefault="002778A3" w:rsidP="002778A3">
      <w:pPr>
        <w:rPr>
          <w:sz w:val="20"/>
          <w:szCs w:val="20"/>
        </w:rPr>
      </w:pPr>
    </w:p>
    <w:p w14:paraId="649D6804" w14:textId="77777777" w:rsidR="002778A3" w:rsidRDefault="002778A3" w:rsidP="002778A3">
      <w:pPr>
        <w:rPr>
          <w:sz w:val="20"/>
          <w:szCs w:val="20"/>
        </w:rPr>
      </w:pPr>
      <w:r w:rsidRPr="007E4000">
        <w:rPr>
          <w:sz w:val="20"/>
          <w:szCs w:val="20"/>
        </w:rPr>
        <w:t>Le montant des frais de gestion est obtenu par le produit du taux mentionné ci-dessous appliqué à la masse salariale assurée hors charges patronales (agents CNRACL et/ou IRCANTEC) au 31 décembre de l’année n-1 et telle que déclarée par la collectivité auprès du courtier ou de l’assureur.</w:t>
      </w:r>
    </w:p>
    <w:p w14:paraId="05AC5D9D" w14:textId="77777777" w:rsidR="002778A3" w:rsidRPr="007E4000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 xml:space="preserve">Pour les collectivités nouvellement adhérentes au contrat groupe, </w:t>
      </w:r>
      <w:r w:rsidRPr="007E4000">
        <w:rPr>
          <w:sz w:val="20"/>
          <w:szCs w:val="20"/>
        </w:rPr>
        <w:t>la masse salariale assurée hors charges patronales (agents CNRACL et/ou IRCANTEC) au 31 décembre de l’année n-1</w:t>
      </w:r>
      <w:r>
        <w:rPr>
          <w:sz w:val="20"/>
          <w:szCs w:val="20"/>
        </w:rPr>
        <w:t xml:space="preserve"> devra être communiquée afin d’établir l’appel de cotisation provisionnelle correspondant.</w:t>
      </w:r>
    </w:p>
    <w:p w14:paraId="409002B0" w14:textId="77777777" w:rsidR="002778A3" w:rsidRDefault="002778A3" w:rsidP="002778A3">
      <w:pPr>
        <w:rPr>
          <w:sz w:val="20"/>
          <w:szCs w:val="20"/>
        </w:rPr>
      </w:pPr>
    </w:p>
    <w:p w14:paraId="6FC3EBAF" w14:textId="77777777" w:rsidR="002778A3" w:rsidRPr="002273BF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 xml:space="preserve">Ce taux est fixé à : </w:t>
      </w:r>
    </w:p>
    <w:p w14:paraId="4A3578EF" w14:textId="77777777" w:rsidR="002778A3" w:rsidRDefault="002778A3" w:rsidP="002778A3">
      <w:pPr>
        <w:rPr>
          <w:b/>
          <w:sz w:val="20"/>
          <w:szCs w:val="20"/>
        </w:rPr>
      </w:pPr>
    </w:p>
    <w:p w14:paraId="006D3315" w14:textId="77777777" w:rsidR="002778A3" w:rsidRPr="00A9598C" w:rsidRDefault="002778A3" w:rsidP="00277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0,40% </w:t>
      </w:r>
      <w:r w:rsidRPr="00A9598C">
        <w:rPr>
          <w:b/>
          <w:sz w:val="20"/>
          <w:szCs w:val="20"/>
        </w:rPr>
        <w:t xml:space="preserve">pour le contrat </w:t>
      </w:r>
      <w:r>
        <w:rPr>
          <w:b/>
          <w:sz w:val="20"/>
          <w:szCs w:val="20"/>
        </w:rPr>
        <w:t>CNRACL</w:t>
      </w:r>
    </w:p>
    <w:p w14:paraId="784D6054" w14:textId="77777777" w:rsidR="002778A3" w:rsidRPr="00A9598C" w:rsidRDefault="002778A3" w:rsidP="002778A3">
      <w:pPr>
        <w:rPr>
          <w:b/>
          <w:sz w:val="20"/>
          <w:szCs w:val="20"/>
        </w:rPr>
      </w:pPr>
    </w:p>
    <w:p w14:paraId="4B755D18" w14:textId="77777777" w:rsidR="002778A3" w:rsidRPr="00A9598C" w:rsidRDefault="002778A3" w:rsidP="002778A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et</w:t>
      </w:r>
      <w:proofErr w:type="gramEnd"/>
    </w:p>
    <w:p w14:paraId="70813A5B" w14:textId="77777777" w:rsidR="002778A3" w:rsidRPr="00A9598C" w:rsidRDefault="002778A3" w:rsidP="002778A3">
      <w:pPr>
        <w:rPr>
          <w:b/>
          <w:sz w:val="20"/>
          <w:szCs w:val="20"/>
        </w:rPr>
      </w:pPr>
    </w:p>
    <w:p w14:paraId="28A8B0B1" w14:textId="77777777" w:rsidR="002778A3" w:rsidRDefault="002778A3" w:rsidP="00277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0,06% </w:t>
      </w:r>
      <w:r w:rsidRPr="00A9598C">
        <w:rPr>
          <w:b/>
          <w:sz w:val="20"/>
          <w:szCs w:val="20"/>
        </w:rPr>
        <w:t xml:space="preserve">pour le contrat </w:t>
      </w:r>
      <w:r>
        <w:rPr>
          <w:b/>
          <w:sz w:val="20"/>
          <w:szCs w:val="20"/>
        </w:rPr>
        <w:t>IRCANTEC</w:t>
      </w:r>
    </w:p>
    <w:p w14:paraId="6A8F450C" w14:textId="77777777" w:rsidR="002778A3" w:rsidRDefault="002778A3" w:rsidP="002778A3">
      <w:pPr>
        <w:rPr>
          <w:b/>
          <w:sz w:val="20"/>
          <w:szCs w:val="20"/>
        </w:rPr>
      </w:pPr>
    </w:p>
    <w:p w14:paraId="1558D9E5" w14:textId="77777777" w:rsidR="002778A3" w:rsidRPr="00507D80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>Les taux appliqués</w:t>
      </w:r>
      <w:r w:rsidRPr="00507D80">
        <w:rPr>
          <w:sz w:val="20"/>
          <w:szCs w:val="20"/>
        </w:rPr>
        <w:t xml:space="preserve"> ne pourr</w:t>
      </w:r>
      <w:r>
        <w:rPr>
          <w:sz w:val="20"/>
          <w:szCs w:val="20"/>
        </w:rPr>
        <w:t>ont</w:t>
      </w:r>
      <w:r w:rsidRPr="00507D80">
        <w:rPr>
          <w:sz w:val="20"/>
          <w:szCs w:val="20"/>
        </w:rPr>
        <w:t xml:space="preserve"> évoluer que par voie de délibération du Conseil d’</w:t>
      </w:r>
      <w:r>
        <w:rPr>
          <w:sz w:val="20"/>
          <w:szCs w:val="20"/>
        </w:rPr>
        <w:t>a</w:t>
      </w:r>
      <w:r w:rsidRPr="00507D80">
        <w:rPr>
          <w:sz w:val="20"/>
          <w:szCs w:val="20"/>
        </w:rPr>
        <w:t xml:space="preserve">dministration dûment notifiée </w:t>
      </w:r>
      <w:r>
        <w:rPr>
          <w:sz w:val="20"/>
          <w:szCs w:val="20"/>
        </w:rPr>
        <w:t>à la collectivité</w:t>
      </w:r>
      <w:r w:rsidRPr="00507D80">
        <w:rPr>
          <w:sz w:val="20"/>
          <w:szCs w:val="20"/>
        </w:rPr>
        <w:t>. Cette modification ne pourra être applicable qu’au 1</w:t>
      </w:r>
      <w:r w:rsidRPr="00507D80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</w:t>
      </w:r>
      <w:r w:rsidRPr="00507D80">
        <w:rPr>
          <w:sz w:val="20"/>
          <w:szCs w:val="20"/>
        </w:rPr>
        <w:t xml:space="preserve">janvier </w:t>
      </w:r>
      <w:r>
        <w:rPr>
          <w:sz w:val="20"/>
          <w:szCs w:val="20"/>
        </w:rPr>
        <w:t xml:space="preserve">de l’année </w:t>
      </w:r>
      <w:r w:rsidRPr="00507D80">
        <w:rPr>
          <w:sz w:val="20"/>
          <w:szCs w:val="20"/>
        </w:rPr>
        <w:t>suivant</w:t>
      </w:r>
      <w:r>
        <w:rPr>
          <w:sz w:val="20"/>
          <w:szCs w:val="20"/>
        </w:rPr>
        <w:t>e</w:t>
      </w:r>
      <w:r w:rsidRPr="00507D80">
        <w:rPr>
          <w:sz w:val="20"/>
          <w:szCs w:val="20"/>
        </w:rPr>
        <w:t>.</w:t>
      </w:r>
    </w:p>
    <w:p w14:paraId="0CABD553" w14:textId="77777777" w:rsidR="002778A3" w:rsidRDefault="002778A3" w:rsidP="002778A3">
      <w:pPr>
        <w:rPr>
          <w:sz w:val="20"/>
          <w:szCs w:val="20"/>
        </w:rPr>
      </w:pPr>
      <w:r w:rsidRPr="00507D80">
        <w:rPr>
          <w:sz w:val="20"/>
          <w:szCs w:val="20"/>
        </w:rPr>
        <w:lastRenderedPageBreak/>
        <w:t xml:space="preserve">Elle interviendra de manière à préserver </w:t>
      </w:r>
      <w:r>
        <w:rPr>
          <w:sz w:val="20"/>
          <w:szCs w:val="20"/>
        </w:rPr>
        <w:t>à la collectivité</w:t>
      </w:r>
      <w:r w:rsidRPr="00507D80">
        <w:rPr>
          <w:sz w:val="20"/>
          <w:szCs w:val="20"/>
        </w:rPr>
        <w:t xml:space="preserve"> sa possibilité de résilier son adhésion au contrat groupe et à la présente convention</w:t>
      </w:r>
      <w:r>
        <w:rPr>
          <w:sz w:val="20"/>
          <w:szCs w:val="20"/>
        </w:rPr>
        <w:t xml:space="preserve"> soit quatre</w:t>
      </w:r>
      <w:r w:rsidRPr="00507D80">
        <w:rPr>
          <w:sz w:val="20"/>
          <w:szCs w:val="20"/>
        </w:rPr>
        <w:t xml:space="preserve"> mois avant </w:t>
      </w:r>
      <w:r>
        <w:rPr>
          <w:sz w:val="20"/>
          <w:szCs w:val="20"/>
        </w:rPr>
        <w:t>l’échéance annuelle</w:t>
      </w:r>
      <w:r w:rsidRPr="00507D80">
        <w:rPr>
          <w:sz w:val="20"/>
          <w:szCs w:val="20"/>
        </w:rPr>
        <w:t>.</w:t>
      </w:r>
    </w:p>
    <w:p w14:paraId="37238E4B" w14:textId="77777777" w:rsidR="002778A3" w:rsidRPr="00507D80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>L’évolution éventuelle du(des) taux fera l’objet d’un avenant.</w:t>
      </w:r>
    </w:p>
    <w:p w14:paraId="6A16B57A" w14:textId="77777777" w:rsidR="002778A3" w:rsidRPr="00507D80" w:rsidRDefault="002778A3" w:rsidP="002778A3">
      <w:pPr>
        <w:rPr>
          <w:sz w:val="20"/>
          <w:szCs w:val="20"/>
        </w:rPr>
      </w:pPr>
    </w:p>
    <w:p w14:paraId="043CE82F" w14:textId="77777777" w:rsidR="002778A3" w:rsidRPr="007E4000" w:rsidRDefault="002778A3" w:rsidP="002778A3">
      <w:pPr>
        <w:rPr>
          <w:sz w:val="20"/>
          <w:szCs w:val="20"/>
        </w:rPr>
      </w:pPr>
      <w:r w:rsidRPr="007E4000">
        <w:rPr>
          <w:sz w:val="20"/>
          <w:szCs w:val="20"/>
        </w:rPr>
        <w:t xml:space="preserve">Les frais de gestion seront appelés par le Centre de Gestion d’Indre-et-Loire au plus tard le 30 juin de chaque année ou lors de l’adhésion de la collectivité si celle-ci intervenait en cours d’année civile. </w:t>
      </w:r>
    </w:p>
    <w:p w14:paraId="2FA404E7" w14:textId="77777777" w:rsidR="002778A3" w:rsidRPr="00507D80" w:rsidRDefault="002778A3" w:rsidP="002778A3">
      <w:pPr>
        <w:rPr>
          <w:sz w:val="20"/>
          <w:szCs w:val="20"/>
        </w:rPr>
      </w:pPr>
      <w:r w:rsidRPr="007E4000">
        <w:rPr>
          <w:sz w:val="20"/>
          <w:szCs w:val="20"/>
        </w:rPr>
        <w:t>Les frais de gestion d’un montant inférieur à dix euros ne seront pas appelés auprès de la collectivité.</w:t>
      </w:r>
    </w:p>
    <w:p w14:paraId="425CE3BD" w14:textId="77777777" w:rsidR="002778A3" w:rsidRPr="00507D80" w:rsidRDefault="002778A3" w:rsidP="002778A3">
      <w:pPr>
        <w:rPr>
          <w:sz w:val="20"/>
          <w:szCs w:val="20"/>
        </w:rPr>
      </w:pPr>
    </w:p>
    <w:p w14:paraId="0099B0FE" w14:textId="77777777" w:rsidR="002778A3" w:rsidRPr="00507D80" w:rsidRDefault="002778A3" w:rsidP="002778A3">
      <w:pPr>
        <w:rPr>
          <w:sz w:val="20"/>
          <w:szCs w:val="20"/>
        </w:rPr>
      </w:pPr>
      <w:r w:rsidRPr="00507D80">
        <w:rPr>
          <w:sz w:val="20"/>
          <w:szCs w:val="20"/>
        </w:rPr>
        <w:t xml:space="preserve">Un titre de recette </w:t>
      </w:r>
      <w:r>
        <w:rPr>
          <w:sz w:val="20"/>
          <w:szCs w:val="20"/>
        </w:rPr>
        <w:t xml:space="preserve">par an </w:t>
      </w:r>
      <w:r w:rsidRPr="00507D80">
        <w:rPr>
          <w:sz w:val="20"/>
          <w:szCs w:val="20"/>
        </w:rPr>
        <w:t>est émis par le CDG</w:t>
      </w:r>
      <w:r>
        <w:rPr>
          <w:sz w:val="20"/>
          <w:szCs w:val="20"/>
        </w:rPr>
        <w:t xml:space="preserve"> 37 </w:t>
      </w:r>
      <w:r w:rsidRPr="00507D80">
        <w:rPr>
          <w:sz w:val="20"/>
          <w:szCs w:val="20"/>
        </w:rPr>
        <w:t xml:space="preserve">à l’encontre </w:t>
      </w:r>
      <w:r>
        <w:rPr>
          <w:sz w:val="20"/>
          <w:szCs w:val="20"/>
        </w:rPr>
        <w:t>de la collectivité dans les délais mentionnés ci-</w:t>
      </w:r>
      <w:r w:rsidRPr="00507D80">
        <w:rPr>
          <w:sz w:val="20"/>
          <w:szCs w:val="20"/>
        </w:rPr>
        <w:t>dessus.</w:t>
      </w:r>
    </w:p>
    <w:p w14:paraId="23279FE5" w14:textId="77777777" w:rsidR="002778A3" w:rsidRDefault="002778A3" w:rsidP="002778A3">
      <w:pPr>
        <w:rPr>
          <w:sz w:val="20"/>
          <w:szCs w:val="20"/>
        </w:rPr>
      </w:pPr>
    </w:p>
    <w:p w14:paraId="422DE0B2" w14:textId="77777777" w:rsidR="002778A3" w:rsidRPr="00B9719B" w:rsidRDefault="002778A3" w:rsidP="002778A3">
      <w:pPr>
        <w:rPr>
          <w:sz w:val="20"/>
          <w:szCs w:val="20"/>
        </w:rPr>
      </w:pPr>
      <w:r>
        <w:rPr>
          <w:sz w:val="20"/>
          <w:szCs w:val="20"/>
        </w:rPr>
        <w:t>Le paiement du titre interviendra</w:t>
      </w:r>
      <w:r w:rsidRPr="00507D80">
        <w:rPr>
          <w:sz w:val="20"/>
          <w:szCs w:val="20"/>
        </w:rPr>
        <w:t xml:space="preserve"> dans le délai maximum règlementaire de paiement applicable aux opérateurs publics, à partir de la date d</w:t>
      </w:r>
      <w:r>
        <w:rPr>
          <w:sz w:val="20"/>
          <w:szCs w:val="20"/>
        </w:rPr>
        <w:t xml:space="preserve">e réception du titre de recette </w:t>
      </w:r>
      <w:r w:rsidRPr="00B9719B">
        <w:rPr>
          <w:sz w:val="20"/>
          <w:szCs w:val="20"/>
        </w:rPr>
        <w:t xml:space="preserve">par mandat administratif dont le montant est versé </w:t>
      </w:r>
      <w:r>
        <w:rPr>
          <w:sz w:val="20"/>
          <w:szCs w:val="20"/>
        </w:rPr>
        <w:t>à</w:t>
      </w:r>
      <w:r w:rsidRPr="00B9719B">
        <w:rPr>
          <w:sz w:val="20"/>
          <w:szCs w:val="20"/>
        </w:rPr>
        <w:t xml:space="preserve"> :</w:t>
      </w:r>
    </w:p>
    <w:p w14:paraId="7511DD19" w14:textId="77777777" w:rsidR="002778A3" w:rsidRPr="002A0F6C" w:rsidRDefault="002778A3" w:rsidP="002778A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495BF4BA" w14:textId="77777777" w:rsidR="002778A3" w:rsidRPr="002A0F6C" w:rsidRDefault="002778A3" w:rsidP="002778A3">
      <w:pPr>
        <w:autoSpaceDE w:val="0"/>
        <w:autoSpaceDN w:val="0"/>
        <w:adjustRightInd w:val="0"/>
        <w:jc w:val="left"/>
        <w:rPr>
          <w:b/>
          <w:color w:val="000000"/>
          <w:sz w:val="20"/>
          <w:szCs w:val="20"/>
        </w:rPr>
      </w:pPr>
      <w:r w:rsidRPr="002A0F6C">
        <w:rPr>
          <w:b/>
          <w:color w:val="000000"/>
          <w:sz w:val="20"/>
          <w:szCs w:val="20"/>
        </w:rPr>
        <w:t xml:space="preserve">Domiciliation </w:t>
      </w:r>
    </w:p>
    <w:p w14:paraId="67C86C18" w14:textId="77777777" w:rsidR="002778A3" w:rsidRDefault="002778A3" w:rsidP="002778A3">
      <w:pPr>
        <w:pStyle w:val="xxquotations"/>
        <w:shd w:val="clear" w:color="auto" w:fill="FFFFFF"/>
        <w:spacing w:before="0" w:beforeAutospacing="0" w:after="0" w:afterAutospacing="0" w:line="280" w:lineRule="atLeas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Paierie Départementale d'Indre et Loire</w:t>
      </w:r>
    </w:p>
    <w:p w14:paraId="0EE7BD79" w14:textId="77777777" w:rsidR="002778A3" w:rsidRDefault="002778A3" w:rsidP="002778A3">
      <w:pPr>
        <w:pStyle w:val="xxquotations"/>
        <w:shd w:val="clear" w:color="auto" w:fill="FFFFFF"/>
        <w:spacing w:before="0" w:beforeAutospacing="0" w:after="0" w:afterAutospacing="0" w:line="280" w:lineRule="atLeas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Centre des Finances Publiques</w:t>
      </w:r>
    </w:p>
    <w:p w14:paraId="6B5C7BE2" w14:textId="77777777" w:rsidR="002778A3" w:rsidRDefault="002778A3" w:rsidP="002778A3">
      <w:pPr>
        <w:pStyle w:val="xxquotations"/>
        <w:shd w:val="clear" w:color="auto" w:fill="FFFFFF"/>
        <w:spacing w:before="0" w:beforeAutospacing="0" w:after="0" w:afterAutospacing="0" w:line="280" w:lineRule="atLeas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40 rue Edouard VAILLANT</w:t>
      </w:r>
    </w:p>
    <w:p w14:paraId="56097E64" w14:textId="77777777" w:rsidR="002778A3" w:rsidRDefault="002778A3" w:rsidP="002778A3">
      <w:pPr>
        <w:pStyle w:val="xxquotations"/>
        <w:shd w:val="clear" w:color="auto" w:fill="FFFFFF"/>
        <w:spacing w:before="0" w:beforeAutospacing="0" w:after="0" w:afterAutospacing="0" w:line="280" w:lineRule="atLeas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37060 Tours Cedex 9</w:t>
      </w:r>
    </w:p>
    <w:p w14:paraId="4542B4BE" w14:textId="77777777" w:rsidR="002778A3" w:rsidRDefault="002778A3" w:rsidP="002778A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2B1CC4E0" w14:textId="77777777" w:rsidR="002778A3" w:rsidRDefault="002778A3" w:rsidP="002778A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Code Banque 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30001</w:t>
      </w:r>
    </w:p>
    <w:p w14:paraId="09B995C7" w14:textId="77777777" w:rsidR="002778A3" w:rsidRDefault="002778A3" w:rsidP="002778A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Code Guichet :</w:t>
      </w:r>
      <w:r>
        <w:rPr>
          <w:color w:val="000000"/>
          <w:sz w:val="20"/>
          <w:szCs w:val="20"/>
        </w:rPr>
        <w:tab/>
        <w:t>00839</w:t>
      </w:r>
    </w:p>
    <w:p w14:paraId="2FB3A2F3" w14:textId="77777777" w:rsidR="002778A3" w:rsidRDefault="002778A3" w:rsidP="002778A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Numéro de compte :</w:t>
      </w:r>
      <w:r>
        <w:rPr>
          <w:color w:val="000000"/>
          <w:sz w:val="20"/>
          <w:szCs w:val="20"/>
        </w:rPr>
        <w:tab/>
        <w:t>C3720000000</w:t>
      </w:r>
    </w:p>
    <w:p w14:paraId="197F0BD6" w14:textId="77777777" w:rsidR="002778A3" w:rsidRDefault="002778A3" w:rsidP="002778A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Clé RIB 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61</w:t>
      </w:r>
    </w:p>
    <w:p w14:paraId="39F5D620" w14:textId="77777777" w:rsidR="002778A3" w:rsidRDefault="002778A3" w:rsidP="002778A3">
      <w:pPr>
        <w:autoSpaceDE w:val="0"/>
        <w:autoSpaceDN w:val="0"/>
        <w:adjustRightInd w:val="0"/>
        <w:jc w:val="left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0"/>
          <w:szCs w:val="20"/>
        </w:rPr>
        <w:t>IBAN :</w:t>
      </w:r>
      <w:r>
        <w:rPr>
          <w:color w:val="000000"/>
          <w:sz w:val="20"/>
          <w:szCs w:val="20"/>
        </w:rPr>
        <w:t xml:space="preserve"> FR30 3000 1008 39C3 7200 0000 061</w:t>
      </w:r>
    </w:p>
    <w:p w14:paraId="27246B1C" w14:textId="77777777" w:rsidR="002778A3" w:rsidRDefault="002778A3" w:rsidP="002778A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Code BIC :</w:t>
      </w:r>
      <w:r>
        <w:rPr>
          <w:color w:val="000000"/>
          <w:sz w:val="20"/>
          <w:szCs w:val="20"/>
        </w:rPr>
        <w:t xml:space="preserve"> </w:t>
      </w:r>
      <w:r>
        <w:rPr>
          <w:bCs/>
          <w:color w:val="000000"/>
          <w:bdr w:val="none" w:sz="0" w:space="0" w:color="auto" w:frame="1"/>
          <w:shd w:val="clear" w:color="auto" w:fill="FFFFFF"/>
        </w:rPr>
        <w:t>BDFEFRPPCCT</w:t>
      </w:r>
    </w:p>
    <w:p w14:paraId="3B2DD0B6" w14:textId="77777777" w:rsidR="002778A3" w:rsidRDefault="002778A3" w:rsidP="002778A3">
      <w:pPr>
        <w:rPr>
          <w:b/>
          <w:sz w:val="20"/>
          <w:szCs w:val="20"/>
          <w:u w:val="single"/>
        </w:rPr>
      </w:pPr>
    </w:p>
    <w:p w14:paraId="67ACB127" w14:textId="77777777" w:rsidR="002778A3" w:rsidRPr="00827837" w:rsidRDefault="002778A3" w:rsidP="002778A3">
      <w:pPr>
        <w:rPr>
          <w:b/>
          <w:sz w:val="20"/>
          <w:szCs w:val="20"/>
        </w:rPr>
      </w:pPr>
      <w:r w:rsidRPr="00827837">
        <w:rPr>
          <w:b/>
          <w:sz w:val="20"/>
          <w:szCs w:val="20"/>
        </w:rPr>
        <w:t xml:space="preserve">ARTICLE </w:t>
      </w:r>
      <w:r>
        <w:rPr>
          <w:b/>
          <w:sz w:val="20"/>
          <w:szCs w:val="20"/>
        </w:rPr>
        <w:t>4</w:t>
      </w:r>
      <w:r w:rsidRPr="00827837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PRISE D’EFFET ET DUREE DE LA CONVENTION</w:t>
      </w:r>
    </w:p>
    <w:p w14:paraId="6715199B" w14:textId="77777777" w:rsidR="002778A3" w:rsidRPr="00DC7D76" w:rsidRDefault="002778A3" w:rsidP="002778A3">
      <w:pPr>
        <w:rPr>
          <w:sz w:val="20"/>
          <w:szCs w:val="20"/>
        </w:rPr>
      </w:pPr>
    </w:p>
    <w:p w14:paraId="2F84337D" w14:textId="77777777" w:rsidR="002778A3" w:rsidRDefault="002778A3" w:rsidP="002778A3">
      <w:pPr>
        <w:rPr>
          <w:sz w:val="20"/>
          <w:szCs w:val="20"/>
        </w:rPr>
      </w:pPr>
      <w:r w:rsidRPr="00DC7D76">
        <w:rPr>
          <w:sz w:val="20"/>
          <w:szCs w:val="20"/>
        </w:rPr>
        <w:t xml:space="preserve">La présente convention prend effet le </w:t>
      </w:r>
      <w:r>
        <w:rPr>
          <w:sz w:val="20"/>
          <w:szCs w:val="20"/>
        </w:rPr>
        <w:t>1</w:t>
      </w:r>
      <w:r w:rsidRPr="00462273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janvier 2021 ou à la date de l’adhésion de la collectivité au contrat groupe d’assurance statutaire </w:t>
      </w:r>
      <w:r w:rsidRPr="00DC7D76">
        <w:rPr>
          <w:sz w:val="20"/>
          <w:szCs w:val="20"/>
        </w:rPr>
        <w:t xml:space="preserve">et </w:t>
      </w:r>
      <w:r>
        <w:rPr>
          <w:sz w:val="20"/>
          <w:szCs w:val="20"/>
        </w:rPr>
        <w:t xml:space="preserve">elle </w:t>
      </w:r>
      <w:r w:rsidRPr="00DC7D76">
        <w:rPr>
          <w:sz w:val="20"/>
          <w:szCs w:val="20"/>
        </w:rPr>
        <w:t>cesse de produire ses effets</w:t>
      </w:r>
      <w:r>
        <w:rPr>
          <w:sz w:val="20"/>
          <w:szCs w:val="20"/>
        </w:rPr>
        <w:t xml:space="preserve"> au plus tard le 31 décembre 2024.</w:t>
      </w:r>
    </w:p>
    <w:p w14:paraId="7DB816A0" w14:textId="77777777" w:rsidR="002778A3" w:rsidRDefault="002778A3" w:rsidP="002778A3">
      <w:pPr>
        <w:rPr>
          <w:sz w:val="20"/>
          <w:szCs w:val="20"/>
        </w:rPr>
      </w:pPr>
    </w:p>
    <w:p w14:paraId="1A48FEA0" w14:textId="77777777" w:rsidR="002778A3" w:rsidRPr="00DC7D76" w:rsidRDefault="002778A3" w:rsidP="002778A3">
      <w:pPr>
        <w:rPr>
          <w:sz w:val="20"/>
          <w:szCs w:val="20"/>
        </w:rPr>
      </w:pPr>
      <w:r w:rsidRPr="00B659E0">
        <w:rPr>
          <w:sz w:val="20"/>
          <w:szCs w:val="20"/>
        </w:rPr>
        <w:t xml:space="preserve">La résiliation </w:t>
      </w:r>
      <w:r>
        <w:rPr>
          <w:sz w:val="20"/>
          <w:szCs w:val="20"/>
        </w:rPr>
        <w:t>du contrat</w:t>
      </w:r>
      <w:r w:rsidRPr="00B659E0">
        <w:rPr>
          <w:sz w:val="20"/>
          <w:szCs w:val="20"/>
        </w:rPr>
        <w:t xml:space="preserve"> groupe d’assurance statutaire </w:t>
      </w:r>
      <w:r>
        <w:rPr>
          <w:sz w:val="20"/>
          <w:szCs w:val="20"/>
        </w:rPr>
        <w:t xml:space="preserve">par le CDG 37 ou la résiliation du certificat d’adhésion de la collectivité au contrat groupe d’assurance statutaire </w:t>
      </w:r>
      <w:r w:rsidRPr="00B659E0">
        <w:rPr>
          <w:sz w:val="20"/>
          <w:szCs w:val="20"/>
        </w:rPr>
        <w:t>entraîn</w:t>
      </w:r>
      <w:r>
        <w:rPr>
          <w:sz w:val="20"/>
          <w:szCs w:val="20"/>
        </w:rPr>
        <w:t xml:space="preserve">e </w:t>
      </w:r>
      <w:r w:rsidRPr="00B659E0">
        <w:rPr>
          <w:sz w:val="20"/>
          <w:szCs w:val="20"/>
        </w:rPr>
        <w:t>de facto la résiliation de la présente convention</w:t>
      </w:r>
      <w:r>
        <w:rPr>
          <w:sz w:val="20"/>
          <w:szCs w:val="20"/>
        </w:rPr>
        <w:t>.</w:t>
      </w:r>
    </w:p>
    <w:p w14:paraId="7D5CF565" w14:textId="77777777" w:rsidR="002778A3" w:rsidRPr="00DC7D76" w:rsidRDefault="002778A3" w:rsidP="002778A3">
      <w:pPr>
        <w:rPr>
          <w:sz w:val="20"/>
          <w:szCs w:val="20"/>
        </w:rPr>
      </w:pPr>
    </w:p>
    <w:p w14:paraId="723F2983" w14:textId="77777777" w:rsidR="002778A3" w:rsidRPr="00DC7D76" w:rsidRDefault="002778A3" w:rsidP="002778A3">
      <w:pPr>
        <w:rPr>
          <w:sz w:val="20"/>
          <w:szCs w:val="20"/>
        </w:rPr>
      </w:pPr>
      <w:r w:rsidRPr="00DC7D76">
        <w:rPr>
          <w:sz w:val="20"/>
          <w:szCs w:val="20"/>
        </w:rPr>
        <w:t>En cas de résiliation de la convention, le CDG</w:t>
      </w:r>
      <w:r>
        <w:rPr>
          <w:sz w:val="20"/>
          <w:szCs w:val="20"/>
        </w:rPr>
        <w:t xml:space="preserve"> 37</w:t>
      </w:r>
      <w:r w:rsidRPr="00DC7D76">
        <w:rPr>
          <w:sz w:val="20"/>
          <w:szCs w:val="20"/>
        </w:rPr>
        <w:t xml:space="preserve"> transmet à la collectivité l’ensemble des dossiers et informations qu’il détient au titre de la gestion des contrats visés à l’article 1 de la présente convention.</w:t>
      </w:r>
    </w:p>
    <w:p w14:paraId="7C28704F" w14:textId="77777777" w:rsidR="002778A3" w:rsidRPr="00DC7D76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</w:p>
    <w:p w14:paraId="3669924B" w14:textId="77777777" w:rsidR="002778A3" w:rsidRPr="00DC7D76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ARTICLE 5 </w:t>
      </w:r>
      <w:r w:rsidRPr="00827837">
        <w:rPr>
          <w:b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LITIGES</w:t>
      </w:r>
    </w:p>
    <w:p w14:paraId="0B1E0A03" w14:textId="77777777" w:rsidR="002778A3" w:rsidRPr="002273BF" w:rsidRDefault="002778A3" w:rsidP="002778A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A72C280" w14:textId="77777777" w:rsidR="002778A3" w:rsidRPr="002273BF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  <w:r w:rsidRPr="002273BF">
        <w:rPr>
          <w:sz w:val="20"/>
          <w:szCs w:val="20"/>
        </w:rPr>
        <w:t>En cas de différends entre les parties, une solution amiable sera recherchée. A défaut de solution amiable, tous les litiges en rapport avec la présente convention seront de la compétence du Tribunal administratif</w:t>
      </w:r>
      <w:r>
        <w:rPr>
          <w:sz w:val="20"/>
          <w:szCs w:val="20"/>
        </w:rPr>
        <w:t xml:space="preserve"> d’Orléans.</w:t>
      </w:r>
    </w:p>
    <w:p w14:paraId="3F9C5ED3" w14:textId="77777777" w:rsidR="002778A3" w:rsidRPr="00DC7D76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</w:p>
    <w:p w14:paraId="6CEE9293" w14:textId="77777777" w:rsidR="002778A3" w:rsidRPr="00DC7D76" w:rsidRDefault="002778A3" w:rsidP="002778A3">
      <w:pPr>
        <w:autoSpaceDE w:val="0"/>
        <w:autoSpaceDN w:val="0"/>
        <w:adjustRightInd w:val="0"/>
        <w:rPr>
          <w:sz w:val="20"/>
          <w:szCs w:val="20"/>
        </w:rPr>
      </w:pPr>
      <w:r w:rsidRPr="00DC7D76">
        <w:rPr>
          <w:sz w:val="20"/>
          <w:szCs w:val="20"/>
        </w:rPr>
        <w:t>Fait en deux exemplaires à Tours, le</w:t>
      </w:r>
      <w:r>
        <w:rPr>
          <w:sz w:val="20"/>
          <w:szCs w:val="20"/>
        </w:rPr>
        <w:t xml:space="preserve"> 22 décembre 2020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12"/>
      </w:tblGrid>
      <w:tr w:rsidR="002778A3" w:rsidRPr="00DC7D76" w14:paraId="773C9B6A" w14:textId="77777777" w:rsidTr="00FC4C44">
        <w:tc>
          <w:tcPr>
            <w:tcW w:w="4606" w:type="dxa"/>
          </w:tcPr>
          <w:p w14:paraId="177A0E03" w14:textId="77777777" w:rsidR="002778A3" w:rsidRPr="00DC7D76" w:rsidRDefault="002778A3" w:rsidP="00FC4C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40783F43" w14:textId="77777777" w:rsidR="002778A3" w:rsidRPr="00DC7D76" w:rsidRDefault="002778A3" w:rsidP="00FC4C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C7D76">
              <w:rPr>
                <w:b/>
                <w:bCs/>
                <w:sz w:val="20"/>
                <w:szCs w:val="20"/>
              </w:rPr>
              <w:t>Pour le Centre de Gestion</w:t>
            </w:r>
          </w:p>
          <w:p w14:paraId="601FD3B1" w14:textId="397D9C38" w:rsidR="002778A3" w:rsidRPr="00DC7D76" w:rsidRDefault="002778A3" w:rsidP="00FC4C44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090BC9" w14:textId="0833DC35" w:rsidR="002778A3" w:rsidRPr="00DC7D76" w:rsidRDefault="002778A3" w:rsidP="002778A3">
            <w:pPr>
              <w:tabs>
                <w:tab w:val="left" w:pos="4395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DC7D76">
              <w:rPr>
                <w:b/>
                <w:sz w:val="20"/>
                <w:szCs w:val="20"/>
              </w:rPr>
              <w:t>Le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7D76">
              <w:rPr>
                <w:b/>
                <w:sz w:val="20"/>
                <w:szCs w:val="20"/>
              </w:rPr>
              <w:t>Président,</w:t>
            </w:r>
            <w:r w:rsidRPr="00DC7D76">
              <w:rPr>
                <w:b/>
                <w:sz w:val="20"/>
                <w:szCs w:val="20"/>
              </w:rPr>
              <w:tab/>
            </w:r>
          </w:p>
          <w:p w14:paraId="0315EBE1" w14:textId="31A1923D" w:rsidR="002778A3" w:rsidRPr="002778A3" w:rsidRDefault="002778A3" w:rsidP="00FC4C44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b/>
                <w:sz w:val="20"/>
                <w:szCs w:val="20"/>
              </w:rPr>
              <w:t xml:space="preserve">Jean-Gérard PAUMIER </w:t>
            </w:r>
            <w:r>
              <w:rPr>
                <w:noProof/>
              </w:rPr>
              <w:drawing>
                <wp:inline distT="0" distB="0" distL="0" distR="0" wp14:anchorId="5D5E388F" wp14:editId="02ACA915">
                  <wp:extent cx="1190625" cy="10763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B06C7F7" w14:textId="77777777" w:rsidR="002778A3" w:rsidRPr="00DC7D76" w:rsidRDefault="002778A3" w:rsidP="00FC4C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4E323589" w14:textId="77777777" w:rsidR="002778A3" w:rsidRPr="00DC7D76" w:rsidRDefault="002778A3" w:rsidP="00FC4C44">
            <w:pPr>
              <w:autoSpaceDE w:val="0"/>
              <w:autoSpaceDN w:val="0"/>
              <w:adjustRightInd w:val="0"/>
              <w:ind w:left="781"/>
              <w:rPr>
                <w:b/>
                <w:bCs/>
                <w:sz w:val="20"/>
                <w:szCs w:val="20"/>
              </w:rPr>
            </w:pPr>
            <w:r w:rsidRPr="00DC7D76">
              <w:rPr>
                <w:b/>
                <w:bCs/>
                <w:sz w:val="20"/>
                <w:szCs w:val="20"/>
              </w:rPr>
              <w:t>Pour la Collectivité</w:t>
            </w:r>
          </w:p>
        </w:tc>
      </w:tr>
      <w:tr w:rsidR="002778A3" w:rsidRPr="00DC7D76" w14:paraId="2361F500" w14:textId="77777777" w:rsidTr="00FC4C44">
        <w:tc>
          <w:tcPr>
            <w:tcW w:w="4606" w:type="dxa"/>
          </w:tcPr>
          <w:p w14:paraId="6B2318C2" w14:textId="079CA594" w:rsidR="002778A3" w:rsidRPr="00DC7D76" w:rsidRDefault="002778A3" w:rsidP="00FC4C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79B001" w14:textId="77777777" w:rsidR="002778A3" w:rsidRPr="00DC7D76" w:rsidRDefault="002778A3" w:rsidP="00FC4C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0000C44A" w14:textId="77777777" w:rsidR="002778A3" w:rsidRDefault="002778A3" w:rsidP="002778A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C6E0F4C" w14:textId="77777777" w:rsidR="00EA1D9C" w:rsidRDefault="00EA1D9C"/>
    <w:sectPr w:rsidR="00EA1D9C" w:rsidSect="004E38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2" w:right="1417" w:bottom="1276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377B" w14:textId="77777777" w:rsidR="00EC52C5" w:rsidRDefault="00EC52C5" w:rsidP="00EC52C5">
      <w:r>
        <w:separator/>
      </w:r>
    </w:p>
  </w:endnote>
  <w:endnote w:type="continuationSeparator" w:id="0">
    <w:p w14:paraId="537770C2" w14:textId="77777777" w:rsidR="00EC52C5" w:rsidRDefault="00EC52C5" w:rsidP="00EC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25CE" w14:textId="77777777" w:rsidR="00EC52C5" w:rsidRDefault="00EC52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84C4" w14:textId="77777777" w:rsidR="00790203" w:rsidRPr="003C7A1E" w:rsidRDefault="00EC52C5">
    <w:pPr>
      <w:pStyle w:val="Pieddepage"/>
      <w:pBdr>
        <w:top w:val="thinThickSmallGap" w:sz="24" w:space="1" w:color="823B0B" w:themeColor="accent2" w:themeShade="7F"/>
      </w:pBdr>
      <w:rPr>
        <w:rFonts w:eastAsiaTheme="majorEastAsia"/>
        <w:sz w:val="18"/>
        <w:szCs w:val="18"/>
      </w:rPr>
    </w:pPr>
    <w:r>
      <w:rPr>
        <w:rFonts w:eastAsiaTheme="majorEastAsia"/>
        <w:sz w:val="18"/>
        <w:szCs w:val="18"/>
      </w:rPr>
      <w:t>CDG 37 - Service Assurances Statutaires – Convention de gestion</w:t>
    </w:r>
    <w:r w:rsidRPr="003C7A1E">
      <w:rPr>
        <w:rFonts w:eastAsiaTheme="majorEastAsia"/>
        <w:sz w:val="18"/>
        <w:szCs w:val="18"/>
      </w:rPr>
      <w:ptab w:relativeTo="margin" w:alignment="right" w:leader="none"/>
    </w:r>
    <w:r w:rsidRPr="003C7A1E">
      <w:rPr>
        <w:rFonts w:eastAsiaTheme="majorEastAsia"/>
        <w:sz w:val="18"/>
        <w:szCs w:val="18"/>
      </w:rPr>
      <w:t xml:space="preserve">Page </w:t>
    </w:r>
    <w:r w:rsidRPr="003C7A1E">
      <w:rPr>
        <w:sz w:val="18"/>
        <w:szCs w:val="18"/>
      </w:rPr>
      <w:fldChar w:fldCharType="begin"/>
    </w:r>
    <w:r w:rsidRPr="003C7A1E">
      <w:rPr>
        <w:sz w:val="18"/>
        <w:szCs w:val="18"/>
      </w:rPr>
      <w:instrText>PAGE   \* MERGEFORMAT</w:instrText>
    </w:r>
    <w:r w:rsidRPr="003C7A1E">
      <w:rPr>
        <w:sz w:val="18"/>
        <w:szCs w:val="18"/>
      </w:rPr>
      <w:fldChar w:fldCharType="separate"/>
    </w:r>
    <w:r w:rsidRPr="00E91765">
      <w:rPr>
        <w:rFonts w:eastAsiaTheme="majorEastAsia"/>
        <w:noProof/>
        <w:sz w:val="18"/>
        <w:szCs w:val="18"/>
      </w:rPr>
      <w:t>2</w:t>
    </w:r>
    <w:r w:rsidRPr="003C7A1E">
      <w:rPr>
        <w:rFonts w:eastAsiaTheme="majorEastAsia"/>
        <w:sz w:val="18"/>
        <w:szCs w:val="18"/>
      </w:rPr>
      <w:fldChar w:fldCharType="end"/>
    </w:r>
  </w:p>
  <w:p w14:paraId="04771B83" w14:textId="77777777" w:rsidR="00790203" w:rsidRDefault="00713A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555" w14:textId="77777777" w:rsidR="00790203" w:rsidRDefault="00EC52C5" w:rsidP="004E645D">
    <w:pPr>
      <w:pStyle w:val="Pieddepage"/>
      <w:rPr>
        <w:color w:val="42414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5AA2B3" wp14:editId="3F20A2D1">
          <wp:simplePos x="0" y="0"/>
          <wp:positionH relativeFrom="margin">
            <wp:posOffset>-1905</wp:posOffset>
          </wp:positionH>
          <wp:positionV relativeFrom="paragraph">
            <wp:posOffset>20955</wp:posOffset>
          </wp:positionV>
          <wp:extent cx="5763260" cy="1778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1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C59415" w14:textId="77777777" w:rsidR="00790203" w:rsidRPr="00735667" w:rsidRDefault="00EC52C5" w:rsidP="00735667">
    <w:pPr>
      <w:pStyle w:val="Pied-de-page"/>
    </w:pPr>
    <w:r w:rsidRPr="00735667">
      <w:t>SIEGE SOCIAL : 25, rue du rempart - CS 14135 - 37041 TOURS CEDEX 1 - Tél. 02 47 60 85 00 - Télécopie 02 47 60 85 01</w:t>
    </w:r>
  </w:p>
  <w:p w14:paraId="19CEBA2E" w14:textId="77777777" w:rsidR="00790203" w:rsidRPr="00735667" w:rsidRDefault="00EC52C5" w:rsidP="00735667">
    <w:pPr>
      <w:pStyle w:val="Pied-de-page"/>
    </w:pPr>
    <w:r w:rsidRPr="00735667">
      <w:t>Courriel : accueil@cdg37.fr - Site Internet : www.cdg37.fr</w:t>
    </w:r>
  </w:p>
  <w:p w14:paraId="2AC9344E" w14:textId="77777777" w:rsidR="00790203" w:rsidRDefault="00713A81" w:rsidP="004E64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DC98" w14:textId="77777777" w:rsidR="00EC52C5" w:rsidRDefault="00EC52C5" w:rsidP="00EC52C5">
      <w:r>
        <w:separator/>
      </w:r>
    </w:p>
  </w:footnote>
  <w:footnote w:type="continuationSeparator" w:id="0">
    <w:p w14:paraId="010EEFEC" w14:textId="77777777" w:rsidR="00EC52C5" w:rsidRDefault="00EC52C5" w:rsidP="00EC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CE10" w14:textId="3B159709" w:rsidR="00790203" w:rsidRDefault="00713A81">
    <w:pPr>
      <w:pStyle w:val="En-tte"/>
    </w:pPr>
    <w:r>
      <w:rPr>
        <w:noProof/>
      </w:rPr>
      <w:pict w14:anchorId="62A3A5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500830" o:spid="_x0000_s1029" type="#_x0000_t136" style="position:absolute;left:0;text-align:left;margin-left:0;margin-top:0;width:497.4pt;height:14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  <w:r w:rsidR="002778A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3A43A8E" wp14:editId="43830A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1480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ADE06" w14:textId="77777777" w:rsidR="002778A3" w:rsidRDefault="002778A3" w:rsidP="002778A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43A8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0;margin-top:0;width:497.4pt;height:142.1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72ADE06" w14:textId="77777777" w:rsidR="002778A3" w:rsidRDefault="002778A3" w:rsidP="002778A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B348" w14:textId="04CB41FF" w:rsidR="00617514" w:rsidRDefault="00713A81">
    <w:pPr>
      <w:pStyle w:val="En-tte"/>
    </w:pPr>
    <w:r>
      <w:rPr>
        <w:noProof/>
      </w:rPr>
      <w:pict w14:anchorId="38789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500831" o:spid="_x0000_s1030" type="#_x0000_t136" style="position:absolute;left:0;text-align:left;margin-left:0;margin-top:0;width:497.4pt;height:14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  <w:r w:rsidR="002778A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E67275D" wp14:editId="1107139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148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2C8ED" w14:textId="77777777" w:rsidR="002778A3" w:rsidRDefault="002778A3" w:rsidP="002778A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727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0;width:497.4pt;height:142.1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Y+9gEAAMw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52C8ED" w14:textId="77777777" w:rsidR="002778A3" w:rsidRDefault="002778A3" w:rsidP="002778A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3F18" w14:textId="2923A75B" w:rsidR="00790203" w:rsidRDefault="00713A81" w:rsidP="004E38BB">
    <w:pPr>
      <w:pStyle w:val="En-tte"/>
      <w:jc w:val="right"/>
    </w:pPr>
    <w:r>
      <w:rPr>
        <w:noProof/>
      </w:rPr>
      <w:pict w14:anchorId="6C9848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500829" o:spid="_x0000_s1028" type="#_x0000_t136" style="position:absolute;left:0;text-align:left;margin-left:0;margin-top:0;width:497.4pt;height:14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  <w:r w:rsidR="00EC52C5" w:rsidRPr="0002565B">
      <w:rPr>
        <w:noProof/>
      </w:rPr>
      <w:drawing>
        <wp:anchor distT="0" distB="0" distL="114300" distR="114300" simplePos="0" relativeHeight="251660288" behindDoc="0" locked="1" layoutInCell="1" allowOverlap="1" wp14:anchorId="02DDF3CE" wp14:editId="17DED9EA">
          <wp:simplePos x="0" y="0"/>
          <wp:positionH relativeFrom="page">
            <wp:posOffset>821055</wp:posOffset>
          </wp:positionH>
          <wp:positionV relativeFrom="page">
            <wp:posOffset>640715</wp:posOffset>
          </wp:positionV>
          <wp:extent cx="1785600" cy="1422000"/>
          <wp:effectExtent l="0" t="0" r="5715" b="698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00" cy="14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0F8"/>
    <w:multiLevelType w:val="hybridMultilevel"/>
    <w:tmpl w:val="5AFE25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5223"/>
    <w:multiLevelType w:val="hybridMultilevel"/>
    <w:tmpl w:val="95DC93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B3B0B"/>
    <w:multiLevelType w:val="hybridMultilevel"/>
    <w:tmpl w:val="CBA04A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185C"/>
    <w:multiLevelType w:val="hybridMultilevel"/>
    <w:tmpl w:val="4FA017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349930">
    <w:abstractNumId w:val="1"/>
  </w:num>
  <w:num w:numId="2" w16cid:durableId="1515651903">
    <w:abstractNumId w:val="2"/>
  </w:num>
  <w:num w:numId="3" w16cid:durableId="929436198">
    <w:abstractNumId w:val="0"/>
  </w:num>
  <w:num w:numId="4" w16cid:durableId="181294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3"/>
    <w:rsid w:val="002778A3"/>
    <w:rsid w:val="00713A81"/>
    <w:rsid w:val="00EA1D9C"/>
    <w:rsid w:val="00E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58B9"/>
  <w15:chartTrackingRefBased/>
  <w15:docId w15:val="{C28663BE-C6B4-43F4-AFE9-031F7A0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A3"/>
    <w:pPr>
      <w:spacing w:after="0" w:line="240" w:lineRule="auto"/>
      <w:jc w:val="both"/>
    </w:pPr>
    <w:rPr>
      <w:rFonts w:ascii="Arial" w:eastAsiaTheme="minorEastAsia" w:hAnsi="Arial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8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8A3"/>
    <w:rPr>
      <w:rFonts w:ascii="Arial" w:eastAsiaTheme="minorEastAsia" w:hAnsi="Arial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778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8A3"/>
    <w:rPr>
      <w:rFonts w:ascii="Arial" w:eastAsiaTheme="minorEastAsia" w:hAnsi="Arial" w:cs="Arial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778A3"/>
    <w:pPr>
      <w:ind w:left="720"/>
      <w:contextualSpacing/>
    </w:pPr>
  </w:style>
  <w:style w:type="paragraph" w:customStyle="1" w:styleId="Pied-de-page">
    <w:name w:val="Pied-de-page"/>
    <w:basedOn w:val="Pieddepage"/>
    <w:qFormat/>
    <w:rsid w:val="002778A3"/>
    <w:pPr>
      <w:jc w:val="center"/>
    </w:pPr>
    <w:rPr>
      <w:i/>
      <w:sz w:val="14"/>
      <w:szCs w:val="14"/>
    </w:rPr>
  </w:style>
  <w:style w:type="table" w:styleId="Grilledutableau">
    <w:name w:val="Table Grid"/>
    <w:basedOn w:val="TableauNormal"/>
    <w:uiPriority w:val="59"/>
    <w:rsid w:val="002778A3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quotations">
    <w:name w:val="x_x_quotations"/>
    <w:basedOn w:val="Normal"/>
    <w:rsid w:val="002778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BC75078FD624E99FC7AF9AACB5879" ma:contentTypeVersion="16" ma:contentTypeDescription="Crée un document." ma:contentTypeScope="" ma:versionID="b14c2f58a5b7c0b40609d7c4ddb985dd">
  <xsd:schema xmlns:xsd="http://www.w3.org/2001/XMLSchema" xmlns:xs="http://www.w3.org/2001/XMLSchema" xmlns:p="http://schemas.microsoft.com/office/2006/metadata/properties" xmlns:ns2="995e1335-11ff-4086-a740-fe13c9ab3552" xmlns:ns3="44c96c1e-bde5-4b29-82d7-5a480a697907" targetNamespace="http://schemas.microsoft.com/office/2006/metadata/properties" ma:root="true" ma:fieldsID="b14750e9cb768e51d55c0fc75deaa586" ns2:_="" ns3:_="">
    <xsd:import namespace="995e1335-11ff-4086-a740-fe13c9ab3552"/>
    <xsd:import namespace="44c96c1e-bde5-4b29-82d7-5a480a697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335-11ff-4086-a740-fe13c9a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da6c3-e7d6-40f3-9508-45c0db47089f}" ma:internalName="TaxCatchAll" ma:showField="CatchAllData" ma:web="995e1335-11ff-4086-a740-fe13c9ab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6c1e-bde5-4b29-82d7-5a480a69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1af18e6-5d0e-4f4c-b2c2-f49842182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e1335-11ff-4086-a740-fe13c9ab3552" xsi:nil="true"/>
    <lcf76f155ced4ddcb4097134ff3c332f xmlns="44c96c1e-bde5-4b29-82d7-5a480a6979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9607B6-2D9A-4C6A-8813-82CAA6567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8E602-C767-4BA3-B720-B85C8B5EB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335-11ff-4086-a740-fe13c9ab3552"/>
    <ds:schemaRef ds:uri="44c96c1e-bde5-4b29-82d7-5a480a697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77F4A-3383-42DE-9889-300BF892A0FC}">
  <ds:schemaRefs>
    <ds:schemaRef ds:uri="http://schemas.microsoft.com/office/2006/metadata/properties"/>
    <ds:schemaRef ds:uri="http://schemas.microsoft.com/office/infopath/2007/PartnerControls"/>
    <ds:schemaRef ds:uri="995e1335-11ff-4086-a740-fe13c9ab3552"/>
    <ds:schemaRef ds:uri="44c96c1e-bde5-4b29-82d7-5a480a697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DUPONT</dc:creator>
  <cp:keywords/>
  <dc:description/>
  <cp:lastModifiedBy>Jean-Yves ROBICHON</cp:lastModifiedBy>
  <cp:revision>2</cp:revision>
  <dcterms:created xsi:type="dcterms:W3CDTF">2023-03-03T15:16:00Z</dcterms:created>
  <dcterms:modified xsi:type="dcterms:W3CDTF">2023-03-03T15:16:00Z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0x010100A82BC75078FD624E99FC7AF9AACB5879</vt:lpwstr>
  </property>
</Properties>
</file>